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1"/>
        </w:rPr>
      </w:pPr>
      <w:r>
        <w:rPr/>
        <w:pict>
          <v:group style="position:absolute;margin-left:35.279999pt;margin-top:96.980003pt;width:551.65pt;height:3pt;mso-position-horizontal-relative:page;mso-position-vertical-relative:page;z-index:251658240" coordorigin="706,1940" coordsize="11033,60">
            <v:line style="position:absolute" from="706,1970" to="2900,1970" stroked="true" strokeweight="3pt" strokecolor="#1f487c">
              <v:stroke dashstyle="solid"/>
            </v:line>
            <v:rect style="position:absolute;left:2885;top:1939;width:60;height:60" filled="true" fillcolor="#1f487c" stroked="false">
              <v:fill type="solid"/>
            </v:rect>
            <v:line style="position:absolute" from="2945,1970" to="11738,1970" stroked="true" strokeweight="3pt" strokecolor="#1f487c">
              <v:stroke dashstyle="solid"/>
            </v:line>
            <w10:wrap type="none"/>
          </v:group>
        </w:pict>
      </w:r>
    </w:p>
    <w:tbl>
      <w:tblPr>
        <w:tblW w:w="0" w:type="auto"/>
        <w:jc w:val="left"/>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49"/>
        <w:gridCol w:w="7145"/>
      </w:tblGrid>
      <w:tr>
        <w:trPr>
          <w:trHeight w:val="298" w:hRule="atLeast"/>
        </w:trPr>
        <w:tc>
          <w:tcPr>
            <w:tcW w:w="10694" w:type="dxa"/>
            <w:gridSpan w:val="2"/>
          </w:tcPr>
          <w:p>
            <w:pPr>
              <w:pStyle w:val="TableParagraph"/>
              <w:spacing w:before="0"/>
              <w:rPr>
                <w:rFonts w:ascii="Times New Roman"/>
                <w:sz w:val="22"/>
              </w:rPr>
            </w:pPr>
          </w:p>
        </w:tc>
      </w:tr>
      <w:tr>
        <w:trPr>
          <w:trHeight w:val="508" w:hRule="atLeast"/>
        </w:trPr>
        <w:tc>
          <w:tcPr>
            <w:tcW w:w="10694" w:type="dxa"/>
            <w:gridSpan w:val="2"/>
            <w:shd w:val="clear" w:color="auto" w:fill="BEBEBE"/>
          </w:tcPr>
          <w:p>
            <w:pPr>
              <w:pStyle w:val="TableParagraph"/>
              <w:spacing w:before="60"/>
              <w:ind w:left="53"/>
              <w:rPr>
                <w:b/>
                <w:sz w:val="32"/>
              </w:rPr>
            </w:pPr>
            <w:r>
              <w:rPr>
                <w:b/>
                <w:sz w:val="32"/>
              </w:rPr>
              <w:t>PIP / ALLOWABLE EXPENSES / BI / UM / UIM</w:t>
            </w:r>
          </w:p>
        </w:tc>
      </w:tr>
      <w:tr>
        <w:trPr>
          <w:trHeight w:val="1194" w:hRule="atLeast"/>
        </w:trPr>
        <w:tc>
          <w:tcPr>
            <w:tcW w:w="3549" w:type="dxa"/>
            <w:tcBorders>
              <w:top w:val="single" w:sz="4" w:space="0" w:color="808080"/>
              <w:bottom w:val="single" w:sz="4" w:space="0" w:color="808080"/>
            </w:tcBorders>
          </w:tcPr>
          <w:p>
            <w:pPr>
              <w:pStyle w:val="TableParagraph"/>
              <w:spacing w:before="61"/>
              <w:ind w:left="53" w:right="152"/>
              <w:rPr>
                <w:b/>
                <w:sz w:val="22"/>
              </w:rPr>
            </w:pPr>
            <w:r>
              <w:rPr>
                <w:b/>
                <w:sz w:val="22"/>
              </w:rPr>
              <w:t>Q: Are all drivers on a policy required to have the same PIP limit?</w:t>
            </w:r>
          </w:p>
        </w:tc>
        <w:tc>
          <w:tcPr>
            <w:tcW w:w="7145" w:type="dxa"/>
            <w:tcBorders>
              <w:top w:val="single" w:sz="4" w:space="0" w:color="808080"/>
              <w:bottom w:val="single" w:sz="4" w:space="0" w:color="808080"/>
            </w:tcBorders>
          </w:tcPr>
          <w:p>
            <w:pPr>
              <w:pStyle w:val="TableParagraph"/>
              <w:spacing w:before="61"/>
              <w:ind w:left="118" w:right="151"/>
              <w:rPr>
                <w:sz w:val="22"/>
              </w:rPr>
            </w:pPr>
            <w:r>
              <w:rPr>
                <w:b/>
                <w:sz w:val="22"/>
              </w:rPr>
              <w:t>A: </w:t>
            </w:r>
            <w:r>
              <w:rPr>
                <w:sz w:val="22"/>
              </w:rPr>
              <w:t>There will be only one PIP allowable expense limit that will apply to a policy. All drivers under one policy will have the same PIP allowable expense limits. However, the limit is applied per individual, per loss occurrence, similar to existing bodily injury limits.</w:t>
            </w:r>
          </w:p>
        </w:tc>
      </w:tr>
      <w:tr>
        <w:trPr>
          <w:trHeight w:val="1192" w:hRule="atLeast"/>
        </w:trPr>
        <w:tc>
          <w:tcPr>
            <w:tcW w:w="3549" w:type="dxa"/>
            <w:tcBorders>
              <w:top w:val="single" w:sz="4" w:space="0" w:color="808080"/>
              <w:bottom w:val="single" w:sz="6" w:space="0" w:color="808080"/>
            </w:tcBorders>
          </w:tcPr>
          <w:p>
            <w:pPr>
              <w:pStyle w:val="TableParagraph"/>
              <w:ind w:left="53" w:right="173"/>
              <w:rPr>
                <w:b/>
                <w:sz w:val="22"/>
              </w:rPr>
            </w:pPr>
            <w:r>
              <w:rPr>
                <w:b/>
                <w:sz w:val="22"/>
              </w:rPr>
              <w:t>Q: If an insured decides not to make any changes to their PIP coverage, will the policy renew with unlimited coverage?</w:t>
            </w:r>
          </w:p>
        </w:tc>
        <w:tc>
          <w:tcPr>
            <w:tcW w:w="7145" w:type="dxa"/>
            <w:tcBorders>
              <w:top w:val="single" w:sz="4" w:space="0" w:color="808080"/>
              <w:bottom w:val="single" w:sz="6" w:space="0" w:color="808080"/>
            </w:tcBorders>
          </w:tcPr>
          <w:p>
            <w:pPr>
              <w:pStyle w:val="TableParagraph"/>
              <w:ind w:left="118" w:right="151"/>
              <w:jc w:val="both"/>
              <w:rPr>
                <w:sz w:val="22"/>
              </w:rPr>
            </w:pPr>
            <w:r>
              <w:rPr>
                <w:b/>
                <w:sz w:val="22"/>
              </w:rPr>
              <w:t>A: </w:t>
            </w:r>
            <w:r>
              <w:rPr>
                <w:sz w:val="22"/>
              </w:rPr>
              <w:t>Yes, unlimited PIP coverage is the default level. In order to be subject to a specific PIP allowable expense limit ($50k, $250k, or $500k), an insured must actively elect that limit on a signed form and submit it to the insurer.</w:t>
            </w:r>
          </w:p>
        </w:tc>
      </w:tr>
      <w:tr>
        <w:trPr>
          <w:trHeight w:val="1132" w:hRule="atLeast"/>
        </w:trPr>
        <w:tc>
          <w:tcPr>
            <w:tcW w:w="3549" w:type="dxa"/>
            <w:tcBorders>
              <w:top w:val="single" w:sz="6" w:space="0" w:color="808080"/>
              <w:bottom w:val="single" w:sz="4" w:space="0" w:color="808080"/>
            </w:tcBorders>
          </w:tcPr>
          <w:p>
            <w:pPr>
              <w:pStyle w:val="TableParagraph"/>
              <w:spacing w:before="57"/>
              <w:ind w:left="53"/>
              <w:rPr>
                <w:b/>
                <w:sz w:val="22"/>
              </w:rPr>
            </w:pPr>
            <w:r>
              <w:rPr>
                <w:b/>
                <w:sz w:val="22"/>
              </w:rPr>
              <w:t>Q: Do the lower PIP limits ($50k,</w:t>
            </w:r>
          </w:p>
          <w:p>
            <w:pPr>
              <w:pStyle w:val="TableParagraph"/>
              <w:spacing w:before="0"/>
              <w:ind w:left="53" w:right="241"/>
              <w:rPr>
                <w:b/>
                <w:sz w:val="22"/>
              </w:rPr>
            </w:pPr>
            <w:r>
              <w:rPr>
                <w:b/>
                <w:sz w:val="22"/>
              </w:rPr>
              <w:t>$250K or $500k) still cover medical, wage loss, survivors’ benefits, etc.?</w:t>
            </w:r>
          </w:p>
        </w:tc>
        <w:tc>
          <w:tcPr>
            <w:tcW w:w="7145" w:type="dxa"/>
            <w:tcBorders>
              <w:top w:val="single" w:sz="6" w:space="0" w:color="808080"/>
              <w:bottom w:val="single" w:sz="4" w:space="0" w:color="808080"/>
            </w:tcBorders>
          </w:tcPr>
          <w:p>
            <w:pPr>
              <w:pStyle w:val="TableParagraph"/>
              <w:spacing w:line="270" w:lineRule="atLeast" w:before="55"/>
              <w:ind w:left="118" w:right="308"/>
              <w:rPr>
                <w:sz w:val="22"/>
              </w:rPr>
            </w:pPr>
            <w:r>
              <w:rPr>
                <w:b/>
                <w:sz w:val="22"/>
              </w:rPr>
              <w:t>A: </w:t>
            </w:r>
            <w:r>
              <w:rPr>
                <w:sz w:val="22"/>
              </w:rPr>
              <w:t>The $50k, $250k or $500k PIP limits apply only to allowable expenses, which includes but is not limited to, medical expenses and attendant care. Wage loss benefits, household services, and survivor’s loss benefits are not impacted by the $50k, $250k or $500k PIP allowable expense limits.</w:t>
            </w:r>
          </w:p>
        </w:tc>
      </w:tr>
      <w:tr>
        <w:trPr>
          <w:trHeight w:val="1190" w:hRule="atLeast"/>
        </w:trPr>
        <w:tc>
          <w:tcPr>
            <w:tcW w:w="3549" w:type="dxa"/>
            <w:tcBorders>
              <w:top w:val="single" w:sz="4" w:space="0" w:color="808080"/>
              <w:bottom w:val="single" w:sz="4" w:space="0" w:color="808080"/>
            </w:tcBorders>
          </w:tcPr>
          <w:p>
            <w:pPr>
              <w:pStyle w:val="TableParagraph"/>
              <w:spacing w:before="56"/>
              <w:ind w:left="53" w:right="99"/>
              <w:rPr>
                <w:b/>
                <w:sz w:val="22"/>
              </w:rPr>
            </w:pPr>
            <w:r>
              <w:rPr>
                <w:b/>
                <w:sz w:val="22"/>
              </w:rPr>
              <w:t>Q: If an insured selects a $50k, $250k or $500k limit or opt-out, can they change to unlimited coverage at any time?</w:t>
            </w:r>
          </w:p>
        </w:tc>
        <w:tc>
          <w:tcPr>
            <w:tcW w:w="7145" w:type="dxa"/>
            <w:tcBorders>
              <w:top w:val="single" w:sz="4" w:space="0" w:color="808080"/>
              <w:bottom w:val="single" w:sz="4" w:space="0" w:color="808080"/>
            </w:tcBorders>
          </w:tcPr>
          <w:p>
            <w:pPr>
              <w:pStyle w:val="TableParagraph"/>
              <w:spacing w:before="56"/>
              <w:ind w:left="118" w:right="151"/>
              <w:rPr>
                <w:sz w:val="22"/>
              </w:rPr>
            </w:pPr>
            <w:r>
              <w:rPr>
                <w:b/>
                <w:sz w:val="22"/>
              </w:rPr>
              <w:t>A: </w:t>
            </w:r>
            <w:r>
              <w:rPr>
                <w:sz w:val="22"/>
              </w:rPr>
              <w:t>Yes, an insured can change his or her PIP allowable expense limits from opt-out, $50k, $250k or $500k to unlimited at any time. To make the change the insured will have to sign a new PIP form.</w:t>
            </w:r>
          </w:p>
        </w:tc>
      </w:tr>
      <w:tr>
        <w:trPr>
          <w:trHeight w:val="1195" w:hRule="atLeast"/>
        </w:trPr>
        <w:tc>
          <w:tcPr>
            <w:tcW w:w="3549" w:type="dxa"/>
            <w:tcBorders>
              <w:top w:val="single" w:sz="4" w:space="0" w:color="808080"/>
              <w:bottom w:val="single" w:sz="4" w:space="0" w:color="808080"/>
            </w:tcBorders>
          </w:tcPr>
          <w:p>
            <w:pPr>
              <w:pStyle w:val="TableParagraph"/>
              <w:spacing w:before="61"/>
              <w:ind w:left="53" w:right="216"/>
              <w:rPr>
                <w:b/>
                <w:sz w:val="22"/>
              </w:rPr>
            </w:pPr>
            <w:r>
              <w:rPr>
                <w:b/>
                <w:sz w:val="22"/>
              </w:rPr>
              <w:t>Q: If an insured chooses a lower PIP limit of $250k or $500k does that mean AAA is primary up to that limit?</w:t>
            </w:r>
          </w:p>
        </w:tc>
        <w:tc>
          <w:tcPr>
            <w:tcW w:w="7145" w:type="dxa"/>
            <w:tcBorders>
              <w:top w:val="single" w:sz="4" w:space="0" w:color="808080"/>
              <w:bottom w:val="single" w:sz="4" w:space="0" w:color="808080"/>
            </w:tcBorders>
          </w:tcPr>
          <w:p>
            <w:pPr>
              <w:pStyle w:val="TableParagraph"/>
              <w:spacing w:line="237" w:lineRule="auto" w:before="63"/>
              <w:ind w:left="118" w:right="151"/>
              <w:rPr>
                <w:sz w:val="22"/>
              </w:rPr>
            </w:pPr>
            <w:r>
              <w:rPr>
                <w:b/>
                <w:sz w:val="22"/>
              </w:rPr>
              <w:t>A: </w:t>
            </w:r>
            <w:r>
              <w:rPr>
                <w:sz w:val="22"/>
              </w:rPr>
              <w:t>Not necessarily. Insureds will still have the ability to elect coordinated medical benefits.</w:t>
            </w:r>
          </w:p>
        </w:tc>
      </w:tr>
      <w:tr>
        <w:trPr>
          <w:trHeight w:val="1732" w:hRule="atLeast"/>
        </w:trPr>
        <w:tc>
          <w:tcPr>
            <w:tcW w:w="3549" w:type="dxa"/>
            <w:tcBorders>
              <w:top w:val="single" w:sz="4" w:space="0" w:color="808080"/>
              <w:bottom w:val="single" w:sz="4" w:space="0" w:color="808080"/>
            </w:tcBorders>
          </w:tcPr>
          <w:p>
            <w:pPr>
              <w:pStyle w:val="TableParagraph"/>
              <w:ind w:left="53" w:right="177"/>
              <w:rPr>
                <w:b/>
                <w:sz w:val="22"/>
              </w:rPr>
            </w:pPr>
            <w:r>
              <w:rPr>
                <w:b/>
                <w:sz w:val="22"/>
              </w:rPr>
              <w:t>Q: Traditionally, Medicare and Medicaid did not cover auto-related accidents. With this new law, are they required to cover auto-related injuries if they chose a limit that is less than unlimited?</w:t>
            </w:r>
          </w:p>
        </w:tc>
        <w:tc>
          <w:tcPr>
            <w:tcW w:w="7145" w:type="dxa"/>
            <w:tcBorders>
              <w:top w:val="single" w:sz="4" w:space="0" w:color="808080"/>
              <w:bottom w:val="single" w:sz="4" w:space="0" w:color="808080"/>
            </w:tcBorders>
          </w:tcPr>
          <w:p>
            <w:pPr>
              <w:pStyle w:val="TableParagraph"/>
              <w:ind w:left="118" w:right="303"/>
              <w:rPr>
                <w:sz w:val="22"/>
              </w:rPr>
            </w:pPr>
            <w:r>
              <w:rPr>
                <w:b/>
                <w:sz w:val="22"/>
              </w:rPr>
              <w:t>A: </w:t>
            </w:r>
            <w:r>
              <w:rPr>
                <w:sz w:val="22"/>
              </w:rPr>
              <w:t>In the past, Medicare and Medicaid did not cover auto accident-related expenses because all insureds had access to unlimited PIP benefits through their auto insurance carrier. Medicare and Medicaid are secondary payers. Medicare and Medicaid will follow their established procedures for determining whether coverage will be afforded.</w:t>
            </w:r>
          </w:p>
        </w:tc>
      </w:tr>
      <w:tr>
        <w:trPr>
          <w:trHeight w:val="657" w:hRule="atLeast"/>
        </w:trPr>
        <w:tc>
          <w:tcPr>
            <w:tcW w:w="3549" w:type="dxa"/>
            <w:tcBorders>
              <w:top w:val="single" w:sz="4" w:space="0" w:color="808080"/>
              <w:bottom w:val="single" w:sz="4" w:space="0" w:color="808080"/>
            </w:tcBorders>
          </w:tcPr>
          <w:p>
            <w:pPr>
              <w:pStyle w:val="TableParagraph"/>
              <w:ind w:left="53" w:right="488"/>
              <w:rPr>
                <w:b/>
                <w:sz w:val="22"/>
              </w:rPr>
            </w:pPr>
            <w:r>
              <w:rPr>
                <w:b/>
                <w:sz w:val="22"/>
              </w:rPr>
              <w:t>Q: Are we disposing of the ERISA list?</w:t>
            </w:r>
          </w:p>
        </w:tc>
        <w:tc>
          <w:tcPr>
            <w:tcW w:w="7145" w:type="dxa"/>
            <w:tcBorders>
              <w:top w:val="single" w:sz="4" w:space="0" w:color="808080"/>
              <w:bottom w:val="single" w:sz="4" w:space="0" w:color="808080"/>
            </w:tcBorders>
          </w:tcPr>
          <w:p>
            <w:pPr>
              <w:pStyle w:val="TableParagraph"/>
              <w:ind w:left="118" w:right="151"/>
              <w:rPr>
                <w:sz w:val="22"/>
              </w:rPr>
            </w:pPr>
            <w:r>
              <w:rPr>
                <w:b/>
                <w:sz w:val="22"/>
              </w:rPr>
              <w:t>A: </w:t>
            </w:r>
            <w:r>
              <w:rPr>
                <w:sz w:val="22"/>
              </w:rPr>
              <w:t>We will continue to use the ERISA list. Insureds will still be able to choose coordinated medical benefits.</w:t>
            </w:r>
          </w:p>
        </w:tc>
      </w:tr>
      <w:tr>
        <w:trPr>
          <w:trHeight w:val="1195" w:hRule="atLeast"/>
        </w:trPr>
        <w:tc>
          <w:tcPr>
            <w:tcW w:w="3549" w:type="dxa"/>
            <w:tcBorders>
              <w:top w:val="single" w:sz="4" w:space="0" w:color="808080"/>
              <w:bottom w:val="single" w:sz="4" w:space="0" w:color="808080"/>
            </w:tcBorders>
          </w:tcPr>
          <w:p>
            <w:pPr>
              <w:pStyle w:val="TableParagraph"/>
              <w:ind w:left="53" w:right="164"/>
              <w:rPr>
                <w:b/>
                <w:sz w:val="22"/>
              </w:rPr>
            </w:pPr>
            <w:r>
              <w:rPr>
                <w:b/>
                <w:sz w:val="22"/>
              </w:rPr>
              <w:t>Q: If we know an employer excludes auto accidents in Michigan are we still allowing them to choose a limit of $250k or $500k?</w:t>
            </w:r>
          </w:p>
        </w:tc>
        <w:tc>
          <w:tcPr>
            <w:tcW w:w="7145" w:type="dxa"/>
            <w:tcBorders>
              <w:top w:val="single" w:sz="4" w:space="0" w:color="808080"/>
              <w:bottom w:val="single" w:sz="4" w:space="0" w:color="808080"/>
            </w:tcBorders>
          </w:tcPr>
          <w:p>
            <w:pPr>
              <w:pStyle w:val="TableParagraph"/>
              <w:ind w:left="118" w:right="73"/>
              <w:rPr>
                <w:sz w:val="22"/>
              </w:rPr>
            </w:pPr>
            <w:r>
              <w:rPr>
                <w:b/>
                <w:sz w:val="22"/>
              </w:rPr>
              <w:t>A: </w:t>
            </w:r>
            <w:r>
              <w:rPr>
                <w:sz w:val="22"/>
              </w:rPr>
              <w:t>Unlike other PIP allowable expense options, the standard $250k and $500k PIP allowable expense limits do not require insureds to have health coverage that will cover auto accident-related expenses.</w:t>
            </w:r>
          </w:p>
        </w:tc>
      </w:tr>
      <w:tr>
        <w:trPr>
          <w:trHeight w:val="923" w:hRule="atLeast"/>
        </w:trPr>
        <w:tc>
          <w:tcPr>
            <w:tcW w:w="3549" w:type="dxa"/>
            <w:tcBorders>
              <w:top w:val="single" w:sz="4" w:space="0" w:color="808080"/>
              <w:bottom w:val="single" w:sz="4" w:space="0" w:color="808080"/>
            </w:tcBorders>
          </w:tcPr>
          <w:p>
            <w:pPr>
              <w:pStyle w:val="TableParagraph"/>
              <w:ind w:left="53" w:right="151"/>
              <w:rPr>
                <w:b/>
                <w:sz w:val="22"/>
              </w:rPr>
            </w:pPr>
            <w:r>
              <w:rPr>
                <w:b/>
                <w:sz w:val="22"/>
              </w:rPr>
              <w:t>Q: Will there be a list of “qualified health coverage” poviders available, sort of like we have with ERISA?</w:t>
            </w:r>
          </w:p>
        </w:tc>
        <w:tc>
          <w:tcPr>
            <w:tcW w:w="7145" w:type="dxa"/>
            <w:tcBorders>
              <w:top w:val="single" w:sz="4" w:space="0" w:color="808080"/>
              <w:bottom w:val="single" w:sz="4" w:space="0" w:color="808080"/>
            </w:tcBorders>
          </w:tcPr>
          <w:p>
            <w:pPr>
              <w:pStyle w:val="TableParagraph"/>
              <w:ind w:left="118" w:right="231"/>
              <w:rPr>
                <w:sz w:val="22"/>
              </w:rPr>
            </w:pPr>
            <w:r>
              <w:rPr>
                <w:b/>
                <w:sz w:val="22"/>
              </w:rPr>
              <w:t>A: </w:t>
            </w:r>
            <w:r>
              <w:rPr>
                <w:sz w:val="22"/>
              </w:rPr>
              <w:t>No, a list of qualified health coverage providers will not be available. Customers must provide documentation to show their health coverage plan meets the definition of “qualified health coverage”as set forth in the law.</w:t>
            </w:r>
          </w:p>
        </w:tc>
      </w:tr>
      <w:tr>
        <w:trPr>
          <w:trHeight w:val="865" w:hRule="atLeast"/>
        </w:trPr>
        <w:tc>
          <w:tcPr>
            <w:tcW w:w="3549" w:type="dxa"/>
            <w:tcBorders>
              <w:top w:val="single" w:sz="4" w:space="0" w:color="808080"/>
              <w:bottom w:val="single" w:sz="4" w:space="0" w:color="808080"/>
            </w:tcBorders>
          </w:tcPr>
          <w:p>
            <w:pPr>
              <w:pStyle w:val="TableParagraph"/>
              <w:ind w:left="53" w:right="241"/>
              <w:rPr>
                <w:b/>
                <w:sz w:val="22"/>
              </w:rPr>
            </w:pPr>
            <w:r>
              <w:rPr>
                <w:b/>
                <w:sz w:val="22"/>
              </w:rPr>
              <w:t>Q: Are there health insurance plans that exclude auto accidents?</w:t>
            </w:r>
          </w:p>
        </w:tc>
        <w:tc>
          <w:tcPr>
            <w:tcW w:w="7145" w:type="dxa"/>
            <w:tcBorders>
              <w:top w:val="single" w:sz="4" w:space="0" w:color="808080"/>
              <w:bottom w:val="single" w:sz="4" w:space="0" w:color="808080"/>
            </w:tcBorders>
          </w:tcPr>
          <w:p>
            <w:pPr>
              <w:pStyle w:val="TableParagraph"/>
              <w:spacing w:line="270" w:lineRule="atLeast" w:before="57"/>
              <w:ind w:left="118" w:right="151"/>
              <w:rPr>
                <w:sz w:val="22"/>
              </w:rPr>
            </w:pPr>
            <w:r>
              <w:rPr>
                <w:b/>
                <w:sz w:val="22"/>
              </w:rPr>
              <w:t>A: </w:t>
            </w:r>
            <w:r>
              <w:rPr>
                <w:sz w:val="22"/>
              </w:rPr>
              <w:t>It is the customer’s responsibility to find out what his or her health insurance plan covers. AAA is unable to verify whether a particular health insurance plan excludes auto accidents.</w:t>
            </w:r>
          </w:p>
        </w:tc>
      </w:tr>
    </w:tbl>
    <w:p>
      <w:pPr>
        <w:spacing w:after="0" w:line="270" w:lineRule="atLeast"/>
        <w:rPr>
          <w:sz w:val="22"/>
        </w:rPr>
        <w:sectPr>
          <w:headerReference w:type="default" r:id="rId5"/>
          <w:footerReference w:type="default" r:id="rId6"/>
          <w:type w:val="continuous"/>
          <w:pgSz w:w="12240" w:h="15840"/>
          <w:pgMar w:header="720" w:footer="1207" w:top="1700" w:bottom="1400" w:left="600" w:right="400"/>
          <w:pgNumType w:start="1"/>
        </w:sectPr>
      </w:pPr>
    </w:p>
    <w:p>
      <w:pPr>
        <w:pStyle w:val="BodyText"/>
        <w:spacing w:before="2"/>
        <w:rPr>
          <w:rFonts w:ascii="Times New Roman"/>
          <w:sz w:val="19"/>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6"/>
        <w:gridCol w:w="7203"/>
        <w:gridCol w:w="216"/>
      </w:tblGrid>
      <w:tr>
        <w:trPr>
          <w:trHeight w:val="268" w:hRule="atLeast"/>
        </w:trPr>
        <w:tc>
          <w:tcPr>
            <w:tcW w:w="3606" w:type="dxa"/>
            <w:tcBorders>
              <w:top w:val="single" w:sz="24" w:space="0" w:color="1F487C"/>
              <w:bottom w:val="single" w:sz="4" w:space="0" w:color="808080"/>
            </w:tcBorders>
          </w:tcPr>
          <w:p>
            <w:pPr>
              <w:pStyle w:val="TableParagraph"/>
              <w:spacing w:before="0"/>
              <w:rPr>
                <w:rFonts w:ascii="Times New Roman"/>
                <w:sz w:val="18"/>
              </w:rPr>
            </w:pPr>
          </w:p>
        </w:tc>
        <w:tc>
          <w:tcPr>
            <w:tcW w:w="7203" w:type="dxa"/>
            <w:tcBorders>
              <w:top w:val="single" w:sz="24" w:space="0" w:color="1F487C"/>
              <w:bottom w:val="single" w:sz="4" w:space="0" w:color="808080"/>
            </w:tcBorders>
          </w:tcPr>
          <w:p>
            <w:pPr>
              <w:pStyle w:val="TableParagraph"/>
              <w:spacing w:before="0"/>
              <w:rPr>
                <w:rFonts w:ascii="Times New Roman"/>
                <w:sz w:val="18"/>
              </w:rPr>
            </w:pPr>
          </w:p>
        </w:tc>
        <w:tc>
          <w:tcPr>
            <w:tcW w:w="216" w:type="dxa"/>
            <w:tcBorders>
              <w:top w:val="single" w:sz="24" w:space="0" w:color="1F487C"/>
            </w:tcBorders>
          </w:tcPr>
          <w:p>
            <w:pPr>
              <w:pStyle w:val="TableParagraph"/>
              <w:spacing w:before="0"/>
              <w:rPr>
                <w:rFonts w:ascii="Times New Roman"/>
                <w:sz w:val="18"/>
              </w:rPr>
            </w:pPr>
          </w:p>
        </w:tc>
      </w:tr>
      <w:tr>
        <w:trPr>
          <w:trHeight w:val="926" w:hRule="atLeast"/>
        </w:trPr>
        <w:tc>
          <w:tcPr>
            <w:tcW w:w="3606" w:type="dxa"/>
            <w:tcBorders>
              <w:top w:val="single" w:sz="4" w:space="0" w:color="808080"/>
              <w:bottom w:val="single" w:sz="4" w:space="0" w:color="808080"/>
            </w:tcBorders>
          </w:tcPr>
          <w:p>
            <w:pPr>
              <w:pStyle w:val="TableParagraph"/>
              <w:ind w:left="115" w:right="226"/>
              <w:rPr>
                <w:b/>
                <w:sz w:val="22"/>
              </w:rPr>
            </w:pPr>
            <w:r>
              <w:rPr>
                <w:b/>
                <w:sz w:val="22"/>
              </w:rPr>
              <w:t>Q: Will health insurance now be required to pay secondary after the full PIP portion has been paid?</w:t>
            </w:r>
          </w:p>
        </w:tc>
        <w:tc>
          <w:tcPr>
            <w:tcW w:w="7203" w:type="dxa"/>
            <w:tcBorders>
              <w:top w:val="single" w:sz="4" w:space="0" w:color="808080"/>
              <w:bottom w:val="single" w:sz="4" w:space="0" w:color="808080"/>
            </w:tcBorders>
          </w:tcPr>
          <w:p>
            <w:pPr>
              <w:pStyle w:val="TableParagraph"/>
              <w:ind w:left="122" w:right="463"/>
              <w:rPr>
                <w:sz w:val="22"/>
              </w:rPr>
            </w:pPr>
            <w:r>
              <w:rPr>
                <w:b/>
                <w:sz w:val="22"/>
              </w:rPr>
              <w:t>A: </w:t>
            </w:r>
            <w:r>
              <w:rPr>
                <w:sz w:val="22"/>
              </w:rPr>
              <w:t>Not necessarily. Each health insurance plan is different. It is the customer’s responsibility to find out what his or her health insurance plan covers.</w:t>
            </w:r>
          </w:p>
        </w:tc>
        <w:tc>
          <w:tcPr>
            <w:tcW w:w="216" w:type="dxa"/>
          </w:tcPr>
          <w:p>
            <w:pPr>
              <w:pStyle w:val="TableParagraph"/>
              <w:spacing w:before="0"/>
              <w:rPr>
                <w:rFonts w:ascii="Times New Roman"/>
                <w:sz w:val="22"/>
              </w:rPr>
            </w:pPr>
          </w:p>
        </w:tc>
      </w:tr>
      <w:tr>
        <w:trPr>
          <w:trHeight w:val="923" w:hRule="atLeast"/>
        </w:trPr>
        <w:tc>
          <w:tcPr>
            <w:tcW w:w="3606" w:type="dxa"/>
            <w:tcBorders>
              <w:top w:val="single" w:sz="4" w:space="0" w:color="808080"/>
              <w:bottom w:val="single" w:sz="4" w:space="0" w:color="808080"/>
            </w:tcBorders>
          </w:tcPr>
          <w:p>
            <w:pPr>
              <w:pStyle w:val="TableParagraph"/>
              <w:ind w:left="115" w:right="162"/>
              <w:rPr>
                <w:b/>
                <w:sz w:val="22"/>
              </w:rPr>
            </w:pPr>
            <w:r>
              <w:rPr>
                <w:b/>
                <w:sz w:val="22"/>
              </w:rPr>
              <w:t>Q: How will this impact other health insurers coverage options/require- ments?</w:t>
            </w:r>
          </w:p>
        </w:tc>
        <w:tc>
          <w:tcPr>
            <w:tcW w:w="7203" w:type="dxa"/>
            <w:tcBorders>
              <w:top w:val="single" w:sz="4" w:space="0" w:color="808080"/>
              <w:bottom w:val="single" w:sz="4" w:space="0" w:color="808080"/>
            </w:tcBorders>
          </w:tcPr>
          <w:p>
            <w:pPr>
              <w:pStyle w:val="TableParagraph"/>
              <w:ind w:left="122"/>
              <w:rPr>
                <w:sz w:val="22"/>
              </w:rPr>
            </w:pPr>
            <w:r>
              <w:rPr>
                <w:b/>
                <w:sz w:val="22"/>
              </w:rPr>
              <w:t>A: </w:t>
            </w:r>
            <w:r>
              <w:rPr>
                <w:sz w:val="22"/>
              </w:rPr>
              <w:t>We do not know. Our insureds will need to discuss this with their health insurance carriers.</w:t>
            </w:r>
          </w:p>
        </w:tc>
        <w:tc>
          <w:tcPr>
            <w:tcW w:w="216" w:type="dxa"/>
          </w:tcPr>
          <w:p>
            <w:pPr>
              <w:pStyle w:val="TableParagraph"/>
              <w:spacing w:before="0"/>
              <w:rPr>
                <w:rFonts w:ascii="Times New Roman"/>
                <w:sz w:val="22"/>
              </w:rPr>
            </w:pPr>
          </w:p>
        </w:tc>
      </w:tr>
      <w:tr>
        <w:trPr>
          <w:trHeight w:val="1488" w:hRule="atLeast"/>
        </w:trPr>
        <w:tc>
          <w:tcPr>
            <w:tcW w:w="3606" w:type="dxa"/>
            <w:tcBorders>
              <w:top w:val="single" w:sz="4" w:space="0" w:color="808080"/>
              <w:bottom w:val="single" w:sz="4" w:space="0" w:color="808080"/>
            </w:tcBorders>
          </w:tcPr>
          <w:p>
            <w:pPr>
              <w:pStyle w:val="TableParagraph"/>
              <w:ind w:left="115" w:right="123"/>
              <w:rPr>
                <w:b/>
                <w:sz w:val="22"/>
              </w:rPr>
            </w:pPr>
            <w:r>
              <w:rPr>
                <w:b/>
                <w:sz w:val="22"/>
              </w:rPr>
              <w:t>Q: What are the requirements for an insured to opt-out of PIP allowable expenses?</w:t>
            </w:r>
          </w:p>
        </w:tc>
        <w:tc>
          <w:tcPr>
            <w:tcW w:w="7203" w:type="dxa"/>
            <w:tcBorders>
              <w:top w:val="single" w:sz="4" w:space="0" w:color="808080"/>
              <w:bottom w:val="single" w:sz="4" w:space="0" w:color="808080"/>
            </w:tcBorders>
          </w:tcPr>
          <w:p>
            <w:pPr>
              <w:pStyle w:val="TableParagraph"/>
              <w:ind w:left="122"/>
              <w:rPr>
                <w:sz w:val="22"/>
              </w:rPr>
            </w:pPr>
            <w:r>
              <w:rPr>
                <w:b/>
                <w:sz w:val="22"/>
              </w:rPr>
              <w:t>A: </w:t>
            </w:r>
            <w:r>
              <w:rPr>
                <w:sz w:val="22"/>
              </w:rPr>
              <w:t>In order to elect the Medicare opt-out option:</w:t>
            </w:r>
          </w:p>
          <w:p>
            <w:pPr>
              <w:pStyle w:val="TableParagraph"/>
              <w:numPr>
                <w:ilvl w:val="0"/>
                <w:numId w:val="1"/>
              </w:numPr>
              <w:tabs>
                <w:tab w:pos="887" w:val="left" w:leader="none"/>
                <w:tab w:pos="888" w:val="left" w:leader="none"/>
              </w:tabs>
              <w:spacing w:line="240" w:lineRule="auto" w:before="60" w:after="0"/>
              <w:ind w:left="887" w:right="0" w:hanging="361"/>
              <w:jc w:val="left"/>
              <w:rPr>
                <w:b/>
                <w:sz w:val="22"/>
              </w:rPr>
            </w:pPr>
            <w:r>
              <w:rPr>
                <w:sz w:val="22"/>
              </w:rPr>
              <w:t>The PNI must have Medicare parts A and B,</w:t>
            </w:r>
            <w:r>
              <w:rPr>
                <w:spacing w:val="-8"/>
                <w:sz w:val="22"/>
              </w:rPr>
              <w:t> </w:t>
            </w:r>
            <w:r>
              <w:rPr>
                <w:b/>
                <w:sz w:val="22"/>
              </w:rPr>
              <w:t>and</w:t>
            </w:r>
          </w:p>
          <w:p>
            <w:pPr>
              <w:pStyle w:val="TableParagraph"/>
              <w:numPr>
                <w:ilvl w:val="0"/>
                <w:numId w:val="1"/>
              </w:numPr>
              <w:tabs>
                <w:tab w:pos="887" w:val="left" w:leader="none"/>
                <w:tab w:pos="888" w:val="left" w:leader="none"/>
              </w:tabs>
              <w:spacing w:line="240" w:lineRule="auto" w:before="1" w:after="0"/>
              <w:ind w:left="887" w:right="0" w:hanging="361"/>
              <w:jc w:val="left"/>
              <w:rPr>
                <w:sz w:val="22"/>
              </w:rPr>
            </w:pPr>
            <w:r>
              <w:rPr>
                <w:sz w:val="22"/>
              </w:rPr>
              <w:t>Any resident relatives, including a spouse, must have qualified</w:t>
            </w:r>
            <w:r>
              <w:rPr>
                <w:spacing w:val="-23"/>
                <w:sz w:val="22"/>
              </w:rPr>
              <w:t> </w:t>
            </w:r>
            <w:r>
              <w:rPr>
                <w:sz w:val="22"/>
              </w:rPr>
              <w:t>health</w:t>
            </w:r>
          </w:p>
          <w:p>
            <w:pPr>
              <w:pStyle w:val="TableParagraph"/>
              <w:spacing w:line="270" w:lineRule="atLeast" w:before="0"/>
              <w:ind w:left="887" w:right="463"/>
              <w:rPr>
                <w:sz w:val="22"/>
              </w:rPr>
            </w:pPr>
            <w:r>
              <w:rPr>
                <w:sz w:val="22"/>
              </w:rPr>
              <w:t>coverage with a deductibe less than $6,000 or have PIP medical coverage under another MI policy</w:t>
            </w:r>
          </w:p>
        </w:tc>
        <w:tc>
          <w:tcPr>
            <w:tcW w:w="216" w:type="dxa"/>
          </w:tcPr>
          <w:p>
            <w:pPr>
              <w:pStyle w:val="TableParagraph"/>
              <w:spacing w:before="0"/>
              <w:rPr>
                <w:rFonts w:ascii="Times New Roman"/>
                <w:sz w:val="22"/>
              </w:rPr>
            </w:pPr>
          </w:p>
        </w:tc>
      </w:tr>
      <w:tr>
        <w:trPr>
          <w:trHeight w:val="1484" w:hRule="atLeast"/>
        </w:trPr>
        <w:tc>
          <w:tcPr>
            <w:tcW w:w="3606" w:type="dxa"/>
            <w:tcBorders>
              <w:top w:val="single" w:sz="4" w:space="0" w:color="808080"/>
              <w:bottom w:val="single" w:sz="4" w:space="0" w:color="808080"/>
            </w:tcBorders>
          </w:tcPr>
          <w:p>
            <w:pPr>
              <w:pStyle w:val="TableParagraph"/>
              <w:spacing w:before="58"/>
              <w:ind w:left="115" w:right="123"/>
              <w:rPr>
                <w:b/>
                <w:sz w:val="22"/>
              </w:rPr>
            </w:pPr>
            <w:r>
              <w:rPr>
                <w:b/>
                <w:sz w:val="22"/>
              </w:rPr>
              <w:t>Q: What are the requirements for an insured to select the $50k PIP coverage?</w:t>
            </w:r>
          </w:p>
        </w:tc>
        <w:tc>
          <w:tcPr>
            <w:tcW w:w="7203" w:type="dxa"/>
            <w:tcBorders>
              <w:top w:val="single" w:sz="4" w:space="0" w:color="808080"/>
              <w:bottom w:val="single" w:sz="4" w:space="0" w:color="808080"/>
            </w:tcBorders>
          </w:tcPr>
          <w:p>
            <w:pPr>
              <w:pStyle w:val="TableParagraph"/>
              <w:spacing w:before="58"/>
              <w:ind w:left="122"/>
              <w:rPr>
                <w:sz w:val="22"/>
              </w:rPr>
            </w:pPr>
            <w:r>
              <w:rPr>
                <w:b/>
                <w:sz w:val="22"/>
              </w:rPr>
              <w:t>A: </w:t>
            </w:r>
            <w:r>
              <w:rPr>
                <w:sz w:val="22"/>
              </w:rPr>
              <w:t>In order to elect the $50k PIP coverage:</w:t>
            </w:r>
          </w:p>
          <w:p>
            <w:pPr>
              <w:pStyle w:val="TableParagraph"/>
              <w:numPr>
                <w:ilvl w:val="0"/>
                <w:numId w:val="2"/>
              </w:numPr>
              <w:tabs>
                <w:tab w:pos="888" w:val="left" w:leader="none"/>
              </w:tabs>
              <w:spacing w:line="279" w:lineRule="exact" w:before="60" w:after="0"/>
              <w:ind w:left="887" w:right="0" w:hanging="361"/>
              <w:jc w:val="both"/>
              <w:rPr>
                <w:b/>
                <w:sz w:val="22"/>
              </w:rPr>
            </w:pPr>
            <w:r>
              <w:rPr>
                <w:sz w:val="22"/>
              </w:rPr>
              <w:t>The PNI must be enrolled in Medicaid,</w:t>
            </w:r>
            <w:r>
              <w:rPr>
                <w:spacing w:val="-5"/>
                <w:sz w:val="22"/>
              </w:rPr>
              <w:t> </w:t>
            </w:r>
            <w:r>
              <w:rPr>
                <w:b/>
                <w:sz w:val="22"/>
              </w:rPr>
              <w:t>and</w:t>
            </w:r>
          </w:p>
          <w:p>
            <w:pPr>
              <w:pStyle w:val="TableParagraph"/>
              <w:numPr>
                <w:ilvl w:val="0"/>
                <w:numId w:val="2"/>
              </w:numPr>
              <w:tabs>
                <w:tab w:pos="888" w:val="left" w:leader="none"/>
              </w:tabs>
              <w:spacing w:line="268" w:lineRule="exact" w:before="6" w:after="0"/>
              <w:ind w:left="887" w:right="139" w:hanging="360"/>
              <w:jc w:val="both"/>
              <w:rPr>
                <w:sz w:val="22"/>
              </w:rPr>
            </w:pPr>
            <w:r>
              <w:rPr>
                <w:sz w:val="22"/>
              </w:rPr>
              <w:t>Any resident relatives, including a spouse, must have qualified health coverage with a deductible less than $6,000, be enrolled in Medicaid or have PIP medical coverage under another MI</w:t>
            </w:r>
            <w:r>
              <w:rPr>
                <w:spacing w:val="-7"/>
                <w:sz w:val="22"/>
              </w:rPr>
              <w:t> </w:t>
            </w:r>
            <w:r>
              <w:rPr>
                <w:sz w:val="22"/>
              </w:rPr>
              <w:t>policy</w:t>
            </w:r>
          </w:p>
        </w:tc>
        <w:tc>
          <w:tcPr>
            <w:tcW w:w="216" w:type="dxa"/>
          </w:tcPr>
          <w:p>
            <w:pPr>
              <w:pStyle w:val="TableParagraph"/>
              <w:spacing w:before="0"/>
              <w:rPr>
                <w:rFonts w:ascii="Times New Roman"/>
                <w:sz w:val="22"/>
              </w:rPr>
            </w:pPr>
          </w:p>
        </w:tc>
      </w:tr>
      <w:tr>
        <w:trPr>
          <w:trHeight w:val="1672" w:hRule="atLeast"/>
        </w:trPr>
        <w:tc>
          <w:tcPr>
            <w:tcW w:w="3606" w:type="dxa"/>
            <w:tcBorders>
              <w:top w:val="single" w:sz="4" w:space="0" w:color="808080"/>
              <w:bottom w:val="single" w:sz="4" w:space="0" w:color="808080"/>
            </w:tcBorders>
          </w:tcPr>
          <w:p>
            <w:pPr>
              <w:pStyle w:val="TableParagraph"/>
              <w:spacing w:before="0"/>
              <w:ind w:left="115" w:right="226"/>
              <w:rPr>
                <w:b/>
                <w:sz w:val="22"/>
              </w:rPr>
            </w:pPr>
            <w:r>
              <w:rPr>
                <w:b/>
                <w:sz w:val="22"/>
              </w:rPr>
              <w:t>Q: If an insured has Medicaid but there is no qualified health plan in the household, what PIP allowable expense coverage is available?</w:t>
            </w:r>
          </w:p>
        </w:tc>
        <w:tc>
          <w:tcPr>
            <w:tcW w:w="7203" w:type="dxa"/>
            <w:tcBorders>
              <w:top w:val="single" w:sz="4" w:space="0" w:color="808080"/>
              <w:bottom w:val="single" w:sz="4" w:space="0" w:color="808080"/>
            </w:tcBorders>
          </w:tcPr>
          <w:p>
            <w:pPr>
              <w:pStyle w:val="TableParagraph"/>
              <w:ind w:left="122" w:right="163"/>
              <w:rPr>
                <w:sz w:val="22"/>
              </w:rPr>
            </w:pPr>
            <w:r>
              <w:rPr>
                <w:b/>
                <w:sz w:val="22"/>
              </w:rPr>
              <w:t>A: </w:t>
            </w:r>
            <w:r>
              <w:rPr>
                <w:sz w:val="22"/>
              </w:rPr>
              <w:t>If the PNI has Medicaid and there are no other individuals in the household, they can purchase the $50k allowable expense option. However, if there are resident relatives within the household who are not covered by either Medicaid, Medicare parts A and B, or a qualified health coverage plan, then the named insured must choose either the $250k limit, $500k limit, or</w:t>
            </w:r>
          </w:p>
          <w:p>
            <w:pPr>
              <w:pStyle w:val="TableParagraph"/>
              <w:spacing w:line="249" w:lineRule="exact" w:before="1"/>
              <w:ind w:left="122"/>
              <w:rPr>
                <w:sz w:val="22"/>
              </w:rPr>
            </w:pPr>
            <w:r>
              <w:rPr>
                <w:sz w:val="22"/>
              </w:rPr>
              <w:t>the unlimited allowable expense option.</w:t>
            </w:r>
          </w:p>
        </w:tc>
        <w:tc>
          <w:tcPr>
            <w:tcW w:w="216" w:type="dxa"/>
          </w:tcPr>
          <w:p>
            <w:pPr>
              <w:pStyle w:val="TableParagraph"/>
              <w:spacing w:before="0"/>
              <w:rPr>
                <w:rFonts w:ascii="Times New Roman"/>
                <w:sz w:val="22"/>
              </w:rPr>
            </w:pPr>
          </w:p>
        </w:tc>
      </w:tr>
      <w:tr>
        <w:trPr>
          <w:trHeight w:val="806" w:hRule="atLeast"/>
        </w:trPr>
        <w:tc>
          <w:tcPr>
            <w:tcW w:w="3606" w:type="dxa"/>
            <w:tcBorders>
              <w:top w:val="single" w:sz="4" w:space="0" w:color="808080"/>
              <w:bottom w:val="single" w:sz="4" w:space="0" w:color="808080"/>
            </w:tcBorders>
          </w:tcPr>
          <w:p>
            <w:pPr>
              <w:pStyle w:val="TableParagraph"/>
              <w:spacing w:before="0"/>
              <w:ind w:left="115" w:right="404"/>
              <w:rPr>
                <w:b/>
                <w:sz w:val="22"/>
              </w:rPr>
            </w:pPr>
            <w:r>
              <w:rPr>
                <w:b/>
                <w:sz w:val="22"/>
              </w:rPr>
              <w:t>Q: Can an insured opt-out of allowable expenses if they have a</w:t>
            </w:r>
          </w:p>
          <w:p>
            <w:pPr>
              <w:pStyle w:val="TableParagraph"/>
              <w:spacing w:line="249" w:lineRule="exact" w:before="0"/>
              <w:ind w:left="115"/>
              <w:rPr>
                <w:b/>
                <w:sz w:val="22"/>
              </w:rPr>
            </w:pPr>
            <w:r>
              <w:rPr>
                <w:b/>
                <w:sz w:val="22"/>
              </w:rPr>
              <w:t>qualifying plan at work?</w:t>
            </w:r>
          </w:p>
        </w:tc>
        <w:tc>
          <w:tcPr>
            <w:tcW w:w="7203" w:type="dxa"/>
            <w:tcBorders>
              <w:top w:val="single" w:sz="4" w:space="0" w:color="808080"/>
              <w:bottom w:val="single" w:sz="4" w:space="0" w:color="808080"/>
            </w:tcBorders>
          </w:tcPr>
          <w:p>
            <w:pPr>
              <w:pStyle w:val="TableParagraph"/>
              <w:ind w:left="122"/>
              <w:rPr>
                <w:sz w:val="22"/>
              </w:rPr>
            </w:pPr>
            <w:r>
              <w:rPr>
                <w:b/>
                <w:sz w:val="22"/>
              </w:rPr>
              <w:t>A: </w:t>
            </w:r>
            <w:r>
              <w:rPr>
                <w:sz w:val="22"/>
              </w:rPr>
              <w:t>Only if the PNI has Medicare parts A and B.</w:t>
            </w:r>
          </w:p>
        </w:tc>
        <w:tc>
          <w:tcPr>
            <w:tcW w:w="216" w:type="dxa"/>
          </w:tcPr>
          <w:p>
            <w:pPr>
              <w:pStyle w:val="TableParagraph"/>
              <w:spacing w:before="0"/>
              <w:rPr>
                <w:rFonts w:ascii="Times New Roman"/>
                <w:sz w:val="22"/>
              </w:rPr>
            </w:pPr>
          </w:p>
        </w:tc>
      </w:tr>
      <w:tr>
        <w:trPr>
          <w:trHeight w:val="1192" w:hRule="atLeast"/>
        </w:trPr>
        <w:tc>
          <w:tcPr>
            <w:tcW w:w="3606" w:type="dxa"/>
            <w:tcBorders>
              <w:top w:val="single" w:sz="4" w:space="0" w:color="808080"/>
              <w:bottom w:val="single" w:sz="4" w:space="0" w:color="808080"/>
            </w:tcBorders>
          </w:tcPr>
          <w:p>
            <w:pPr>
              <w:pStyle w:val="TableParagraph"/>
              <w:ind w:left="115" w:right="106"/>
              <w:rPr>
                <w:b/>
                <w:sz w:val="22"/>
              </w:rPr>
            </w:pPr>
            <w:r>
              <w:rPr>
                <w:b/>
                <w:sz w:val="22"/>
              </w:rPr>
              <w:t>Q: For the $6,000 deductible on qualified health coverage, is the new law referring to the co-pay or the co- insurance deductible?</w:t>
            </w:r>
          </w:p>
        </w:tc>
        <w:tc>
          <w:tcPr>
            <w:tcW w:w="7203" w:type="dxa"/>
            <w:tcBorders>
              <w:top w:val="single" w:sz="4" w:space="0" w:color="808080"/>
              <w:bottom w:val="single" w:sz="4" w:space="0" w:color="808080"/>
            </w:tcBorders>
          </w:tcPr>
          <w:p>
            <w:pPr>
              <w:pStyle w:val="TableParagraph"/>
              <w:ind w:left="122"/>
              <w:rPr>
                <w:sz w:val="22"/>
              </w:rPr>
            </w:pPr>
            <w:r>
              <w:rPr>
                <w:b/>
                <w:sz w:val="22"/>
              </w:rPr>
              <w:t>A: </w:t>
            </w:r>
            <w:r>
              <w:rPr>
                <w:sz w:val="22"/>
              </w:rPr>
              <w:t>This likely depends on the specifics of each health insurance plan. It is the customer’s responsibility to find out what his or her health insurance plan covers.</w:t>
            </w:r>
          </w:p>
        </w:tc>
        <w:tc>
          <w:tcPr>
            <w:tcW w:w="216" w:type="dxa"/>
          </w:tcPr>
          <w:p>
            <w:pPr>
              <w:pStyle w:val="TableParagraph"/>
              <w:spacing w:before="0"/>
              <w:rPr>
                <w:rFonts w:ascii="Times New Roman"/>
                <w:sz w:val="22"/>
              </w:rPr>
            </w:pPr>
          </w:p>
        </w:tc>
      </w:tr>
      <w:tr>
        <w:trPr>
          <w:trHeight w:val="925" w:hRule="atLeast"/>
        </w:trPr>
        <w:tc>
          <w:tcPr>
            <w:tcW w:w="3606" w:type="dxa"/>
            <w:tcBorders>
              <w:top w:val="single" w:sz="4" w:space="0" w:color="808080"/>
              <w:bottom w:val="single" w:sz="4" w:space="0" w:color="808080"/>
            </w:tcBorders>
          </w:tcPr>
          <w:p>
            <w:pPr>
              <w:pStyle w:val="TableParagraph"/>
              <w:ind w:left="115" w:right="382"/>
              <w:rPr>
                <w:b/>
                <w:sz w:val="22"/>
              </w:rPr>
            </w:pPr>
            <w:r>
              <w:rPr>
                <w:b/>
                <w:sz w:val="22"/>
              </w:rPr>
              <w:t>Q: If an insured chooses the unlimited PIP option will they still pay the MCCA fee?</w:t>
            </w:r>
          </w:p>
        </w:tc>
        <w:tc>
          <w:tcPr>
            <w:tcW w:w="7203" w:type="dxa"/>
            <w:tcBorders>
              <w:top w:val="single" w:sz="4" w:space="0" w:color="808080"/>
              <w:bottom w:val="single" w:sz="4" w:space="0" w:color="808080"/>
            </w:tcBorders>
          </w:tcPr>
          <w:p>
            <w:pPr>
              <w:pStyle w:val="TableParagraph"/>
              <w:ind w:left="122" w:right="144"/>
              <w:rPr>
                <w:sz w:val="22"/>
              </w:rPr>
            </w:pPr>
            <w:r>
              <w:rPr>
                <w:b/>
                <w:sz w:val="22"/>
              </w:rPr>
              <w:t>A: </w:t>
            </w:r>
            <w:r>
              <w:rPr>
                <w:sz w:val="22"/>
              </w:rPr>
              <w:t>Yes, policies with the unlimited option will continue to pay the MCCA fee. The MCCA will continue to reimburse for losses on policies with unlimited PIP coverage.</w:t>
            </w:r>
          </w:p>
        </w:tc>
        <w:tc>
          <w:tcPr>
            <w:tcW w:w="216" w:type="dxa"/>
          </w:tcPr>
          <w:p>
            <w:pPr>
              <w:pStyle w:val="TableParagraph"/>
              <w:spacing w:before="0"/>
              <w:rPr>
                <w:rFonts w:ascii="Times New Roman"/>
                <w:sz w:val="22"/>
              </w:rPr>
            </w:pPr>
          </w:p>
        </w:tc>
      </w:tr>
      <w:tr>
        <w:trPr>
          <w:trHeight w:val="657" w:hRule="atLeast"/>
        </w:trPr>
        <w:tc>
          <w:tcPr>
            <w:tcW w:w="3606" w:type="dxa"/>
            <w:tcBorders>
              <w:top w:val="single" w:sz="4" w:space="0" w:color="808080"/>
              <w:bottom w:val="single" w:sz="4" w:space="0" w:color="808080"/>
            </w:tcBorders>
          </w:tcPr>
          <w:p>
            <w:pPr>
              <w:pStyle w:val="TableParagraph"/>
              <w:ind w:left="115" w:right="1051"/>
              <w:rPr>
                <w:b/>
                <w:sz w:val="22"/>
              </w:rPr>
            </w:pPr>
            <w:r>
              <w:rPr>
                <w:b/>
                <w:sz w:val="22"/>
              </w:rPr>
              <w:t>Q: Will we offer higher PIP deductibles beyond $500?</w:t>
            </w:r>
          </w:p>
        </w:tc>
        <w:tc>
          <w:tcPr>
            <w:tcW w:w="7203" w:type="dxa"/>
            <w:tcBorders>
              <w:top w:val="single" w:sz="4" w:space="0" w:color="808080"/>
              <w:bottom w:val="single" w:sz="4" w:space="0" w:color="808080"/>
            </w:tcBorders>
          </w:tcPr>
          <w:p>
            <w:pPr>
              <w:pStyle w:val="TableParagraph"/>
              <w:ind w:left="122"/>
              <w:rPr>
                <w:sz w:val="22"/>
              </w:rPr>
            </w:pPr>
            <w:r>
              <w:rPr>
                <w:b/>
                <w:sz w:val="22"/>
              </w:rPr>
              <w:t>A: </w:t>
            </w:r>
            <w:r>
              <w:rPr>
                <w:sz w:val="22"/>
              </w:rPr>
              <w:t>Yes, we will offer PIP deductibles that exceed $500.</w:t>
            </w:r>
          </w:p>
        </w:tc>
        <w:tc>
          <w:tcPr>
            <w:tcW w:w="216" w:type="dxa"/>
          </w:tcPr>
          <w:p>
            <w:pPr>
              <w:pStyle w:val="TableParagraph"/>
              <w:spacing w:before="0"/>
              <w:rPr>
                <w:rFonts w:ascii="Times New Roman"/>
                <w:sz w:val="22"/>
              </w:rPr>
            </w:pPr>
          </w:p>
        </w:tc>
      </w:tr>
      <w:tr>
        <w:trPr>
          <w:trHeight w:val="1672" w:hRule="atLeast"/>
        </w:trPr>
        <w:tc>
          <w:tcPr>
            <w:tcW w:w="3606" w:type="dxa"/>
            <w:tcBorders>
              <w:top w:val="single" w:sz="4" w:space="0" w:color="808080"/>
              <w:bottom w:val="single" w:sz="4" w:space="0" w:color="808080"/>
            </w:tcBorders>
          </w:tcPr>
          <w:p>
            <w:pPr>
              <w:pStyle w:val="TableParagraph"/>
              <w:ind w:left="115" w:right="890"/>
              <w:rPr>
                <w:b/>
                <w:sz w:val="22"/>
              </w:rPr>
            </w:pPr>
            <w:r>
              <w:rPr>
                <w:b/>
                <w:sz w:val="22"/>
              </w:rPr>
              <w:t>Q: Are there any changes to disability and in-home care?</w:t>
            </w:r>
          </w:p>
        </w:tc>
        <w:tc>
          <w:tcPr>
            <w:tcW w:w="7203" w:type="dxa"/>
            <w:tcBorders>
              <w:top w:val="single" w:sz="4" w:space="0" w:color="808080"/>
              <w:bottom w:val="single" w:sz="4" w:space="0" w:color="808080"/>
            </w:tcBorders>
          </w:tcPr>
          <w:p>
            <w:pPr>
              <w:pStyle w:val="TableParagraph"/>
              <w:spacing w:line="270" w:lineRule="atLeast" w:before="57"/>
              <w:ind w:left="122" w:right="144"/>
              <w:rPr>
                <w:sz w:val="22"/>
              </w:rPr>
            </w:pPr>
            <w:r>
              <w:rPr>
                <w:b/>
                <w:sz w:val="22"/>
              </w:rPr>
              <w:t>A: </w:t>
            </w:r>
            <w:r>
              <w:rPr>
                <w:sz w:val="22"/>
              </w:rPr>
              <w:t>PIP allowable expenses will continue to provide coverage for attendant care, subject to the limits set forth in the law and an insured’s policy limits. If an insured selects PIP allowable expense limits of $50k, $250k, or $500k, he or she can purchase an attendant care rider. This rider will provide additional coverage dollars for attendant care services. However, there is an additional limitation of 56 hours per week relative to family/friend attendant care.</w:t>
            </w:r>
          </w:p>
        </w:tc>
        <w:tc>
          <w:tcPr>
            <w:tcW w:w="216" w:type="dxa"/>
          </w:tcPr>
          <w:p>
            <w:pPr>
              <w:pStyle w:val="TableParagraph"/>
              <w:spacing w:before="0"/>
              <w:rPr>
                <w:rFonts w:ascii="Times New Roman"/>
                <w:sz w:val="22"/>
              </w:rPr>
            </w:pPr>
          </w:p>
        </w:tc>
      </w:tr>
    </w:tbl>
    <w:p>
      <w:pPr>
        <w:spacing w:after="0"/>
        <w:rPr>
          <w:rFonts w:ascii="Times New Roman"/>
          <w:sz w:val="22"/>
        </w:rPr>
        <w:sectPr>
          <w:pgSz w:w="12240" w:h="15840"/>
          <w:pgMar w:header="720" w:footer="1207" w:top="1700" w:bottom="1400" w:left="600" w:right="400"/>
        </w:sectPr>
      </w:pPr>
    </w:p>
    <w:p>
      <w:pPr>
        <w:pStyle w:val="BodyText"/>
        <w:spacing w:before="2"/>
        <w:rPr>
          <w:rFonts w:ascii="Times New Roman"/>
          <w:sz w:val="19"/>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6"/>
        <w:gridCol w:w="7204"/>
        <w:gridCol w:w="216"/>
      </w:tblGrid>
      <w:tr>
        <w:trPr>
          <w:trHeight w:val="268" w:hRule="atLeast"/>
        </w:trPr>
        <w:tc>
          <w:tcPr>
            <w:tcW w:w="3606" w:type="dxa"/>
            <w:tcBorders>
              <w:top w:val="single" w:sz="24" w:space="0" w:color="1F487C"/>
              <w:bottom w:val="single" w:sz="4" w:space="0" w:color="808080"/>
            </w:tcBorders>
          </w:tcPr>
          <w:p>
            <w:pPr>
              <w:pStyle w:val="TableParagraph"/>
              <w:spacing w:before="0"/>
              <w:rPr>
                <w:rFonts w:ascii="Times New Roman"/>
                <w:sz w:val="18"/>
              </w:rPr>
            </w:pPr>
          </w:p>
        </w:tc>
        <w:tc>
          <w:tcPr>
            <w:tcW w:w="7204" w:type="dxa"/>
            <w:tcBorders>
              <w:top w:val="single" w:sz="24" w:space="0" w:color="1F487C"/>
              <w:bottom w:val="single" w:sz="4" w:space="0" w:color="808080"/>
            </w:tcBorders>
          </w:tcPr>
          <w:p>
            <w:pPr>
              <w:pStyle w:val="TableParagraph"/>
              <w:spacing w:before="0"/>
              <w:rPr>
                <w:rFonts w:ascii="Times New Roman"/>
                <w:sz w:val="18"/>
              </w:rPr>
            </w:pPr>
          </w:p>
        </w:tc>
        <w:tc>
          <w:tcPr>
            <w:tcW w:w="216" w:type="dxa"/>
            <w:tcBorders>
              <w:top w:val="single" w:sz="24" w:space="0" w:color="1F487C"/>
            </w:tcBorders>
          </w:tcPr>
          <w:p>
            <w:pPr>
              <w:pStyle w:val="TableParagraph"/>
              <w:spacing w:before="0"/>
              <w:rPr>
                <w:rFonts w:ascii="Times New Roman"/>
                <w:sz w:val="18"/>
              </w:rPr>
            </w:pPr>
          </w:p>
        </w:tc>
      </w:tr>
      <w:tr>
        <w:trPr>
          <w:trHeight w:val="866" w:hRule="atLeast"/>
        </w:trPr>
        <w:tc>
          <w:tcPr>
            <w:tcW w:w="3606" w:type="dxa"/>
            <w:tcBorders>
              <w:top w:val="single" w:sz="4" w:space="0" w:color="808080"/>
              <w:bottom w:val="single" w:sz="4" w:space="0" w:color="808080"/>
            </w:tcBorders>
          </w:tcPr>
          <w:p>
            <w:pPr>
              <w:pStyle w:val="TableParagraph"/>
              <w:ind w:left="115" w:right="226"/>
              <w:rPr>
                <w:b/>
                <w:sz w:val="22"/>
              </w:rPr>
            </w:pPr>
            <w:r>
              <w:rPr>
                <w:b/>
                <w:sz w:val="22"/>
              </w:rPr>
              <w:t>Q: Will the allowable expense limit apply to PIP wage loss benefits?</w:t>
            </w:r>
          </w:p>
        </w:tc>
        <w:tc>
          <w:tcPr>
            <w:tcW w:w="7204" w:type="dxa"/>
            <w:tcBorders>
              <w:top w:val="single" w:sz="4" w:space="0" w:color="808080"/>
              <w:bottom w:val="single" w:sz="4" w:space="0" w:color="808080"/>
            </w:tcBorders>
          </w:tcPr>
          <w:p>
            <w:pPr>
              <w:pStyle w:val="TableParagraph"/>
              <w:spacing w:line="270" w:lineRule="atLeast" w:before="57"/>
              <w:ind w:left="122" w:right="154"/>
              <w:rPr>
                <w:sz w:val="22"/>
              </w:rPr>
            </w:pPr>
            <w:r>
              <w:rPr>
                <w:b/>
                <w:sz w:val="22"/>
              </w:rPr>
              <w:t>A: </w:t>
            </w:r>
            <w:r>
              <w:rPr>
                <w:sz w:val="22"/>
              </w:rPr>
              <w:t>The opt-out and limits apply only to the allowable expense portion of PIP benefits, and not to wage loss. However, with certain elections, insureds may not be eligible for any PIP benefits, including wage loss.</w:t>
            </w:r>
          </w:p>
        </w:tc>
        <w:tc>
          <w:tcPr>
            <w:tcW w:w="216" w:type="dxa"/>
          </w:tcPr>
          <w:p>
            <w:pPr>
              <w:pStyle w:val="TableParagraph"/>
              <w:spacing w:before="0"/>
              <w:rPr>
                <w:rFonts w:ascii="Times New Roman"/>
                <w:sz w:val="22"/>
              </w:rPr>
            </w:pPr>
          </w:p>
        </w:tc>
      </w:tr>
      <w:tr>
        <w:trPr>
          <w:trHeight w:val="1460" w:hRule="atLeast"/>
        </w:trPr>
        <w:tc>
          <w:tcPr>
            <w:tcW w:w="3606" w:type="dxa"/>
            <w:tcBorders>
              <w:top w:val="single" w:sz="4" w:space="0" w:color="808080"/>
              <w:bottom w:val="single" w:sz="4" w:space="0" w:color="808080"/>
            </w:tcBorders>
          </w:tcPr>
          <w:p>
            <w:pPr>
              <w:pStyle w:val="TableParagraph"/>
              <w:spacing w:before="58"/>
              <w:ind w:left="115" w:right="128"/>
              <w:rPr>
                <w:b/>
                <w:sz w:val="22"/>
              </w:rPr>
            </w:pPr>
            <w:r>
              <w:rPr>
                <w:b/>
                <w:sz w:val="22"/>
              </w:rPr>
              <w:t>Q: If an insured chooses $50k, $250k or $500k for allowable expenses and after a NAF accident their expenses exceed their limits, will they be able to sue the person at fault?</w:t>
            </w:r>
          </w:p>
        </w:tc>
        <w:tc>
          <w:tcPr>
            <w:tcW w:w="7204" w:type="dxa"/>
            <w:tcBorders>
              <w:top w:val="single" w:sz="4" w:space="0" w:color="808080"/>
              <w:bottom w:val="single" w:sz="4" w:space="0" w:color="808080"/>
            </w:tcBorders>
          </w:tcPr>
          <w:p>
            <w:pPr>
              <w:pStyle w:val="TableParagraph"/>
              <w:spacing w:before="58"/>
              <w:ind w:left="122" w:right="320"/>
              <w:rPr>
                <w:sz w:val="22"/>
              </w:rPr>
            </w:pPr>
            <w:r>
              <w:rPr>
                <w:b/>
                <w:sz w:val="22"/>
              </w:rPr>
              <w:t>A: </w:t>
            </w:r>
            <w:r>
              <w:rPr>
                <w:sz w:val="22"/>
              </w:rPr>
              <w:t>Yes, the individual will be able to sue the at-fault person for allowable expenses exceeding his or her elected PIP allowable expense limit if the excess allowable expenses are not payable by any other source, such as the individual’s health insurance.</w:t>
            </w:r>
          </w:p>
        </w:tc>
        <w:tc>
          <w:tcPr>
            <w:tcW w:w="216" w:type="dxa"/>
          </w:tcPr>
          <w:p>
            <w:pPr>
              <w:pStyle w:val="TableParagraph"/>
              <w:spacing w:before="0"/>
              <w:rPr>
                <w:rFonts w:ascii="Times New Roman"/>
                <w:sz w:val="22"/>
              </w:rPr>
            </w:pPr>
          </w:p>
        </w:tc>
      </w:tr>
      <w:tr>
        <w:trPr>
          <w:trHeight w:val="2001" w:hRule="atLeast"/>
        </w:trPr>
        <w:tc>
          <w:tcPr>
            <w:tcW w:w="3606" w:type="dxa"/>
            <w:tcBorders>
              <w:top w:val="single" w:sz="4" w:space="0" w:color="808080"/>
              <w:bottom w:val="single" w:sz="4" w:space="0" w:color="808080"/>
            </w:tcBorders>
          </w:tcPr>
          <w:p>
            <w:pPr>
              <w:pStyle w:val="TableParagraph"/>
              <w:ind w:left="115" w:right="226"/>
              <w:rPr>
                <w:b/>
                <w:sz w:val="22"/>
              </w:rPr>
            </w:pPr>
            <w:r>
              <w:rPr>
                <w:b/>
                <w:sz w:val="22"/>
              </w:rPr>
              <w:t>Q: If a customer is at fault for an accident and they choose $50k,</w:t>
            </w:r>
          </w:p>
          <w:p>
            <w:pPr>
              <w:pStyle w:val="TableParagraph"/>
              <w:spacing w:before="1"/>
              <w:ind w:left="115" w:right="103"/>
              <w:rPr>
                <w:b/>
                <w:sz w:val="22"/>
              </w:rPr>
            </w:pPr>
            <w:r>
              <w:rPr>
                <w:b/>
                <w:sz w:val="22"/>
              </w:rPr>
              <w:t>$250k or $500k in allowable expense coverage and their medical bills exceed this amount, will they be responsible for the excess medical expenses?</w:t>
            </w:r>
          </w:p>
        </w:tc>
        <w:tc>
          <w:tcPr>
            <w:tcW w:w="7204" w:type="dxa"/>
            <w:tcBorders>
              <w:top w:val="single" w:sz="4" w:space="0" w:color="808080"/>
              <w:bottom w:val="single" w:sz="4" w:space="0" w:color="808080"/>
            </w:tcBorders>
          </w:tcPr>
          <w:p>
            <w:pPr>
              <w:pStyle w:val="TableParagraph"/>
              <w:ind w:left="122" w:right="123"/>
              <w:rPr>
                <w:sz w:val="22"/>
              </w:rPr>
            </w:pPr>
            <w:r>
              <w:rPr>
                <w:b/>
                <w:sz w:val="22"/>
              </w:rPr>
              <w:t>A: </w:t>
            </w:r>
            <w:r>
              <w:rPr>
                <w:sz w:val="22"/>
              </w:rPr>
              <w:t>If the customer’s PIP allowable expense limits are exhausted, the customer will have to look to other sources of recovery, such as health insurance.</w:t>
            </w:r>
          </w:p>
        </w:tc>
        <w:tc>
          <w:tcPr>
            <w:tcW w:w="216" w:type="dxa"/>
          </w:tcPr>
          <w:p>
            <w:pPr>
              <w:pStyle w:val="TableParagraph"/>
              <w:spacing w:before="0"/>
              <w:rPr>
                <w:rFonts w:ascii="Times New Roman"/>
                <w:sz w:val="22"/>
              </w:rPr>
            </w:pPr>
          </w:p>
        </w:tc>
      </w:tr>
      <w:tr>
        <w:trPr>
          <w:trHeight w:val="1461" w:hRule="atLeast"/>
        </w:trPr>
        <w:tc>
          <w:tcPr>
            <w:tcW w:w="3606" w:type="dxa"/>
            <w:tcBorders>
              <w:top w:val="single" w:sz="4" w:space="0" w:color="808080"/>
              <w:bottom w:val="single" w:sz="4" w:space="0" w:color="808080"/>
            </w:tcBorders>
          </w:tcPr>
          <w:p>
            <w:pPr>
              <w:pStyle w:val="TableParagraph"/>
              <w:ind w:left="115" w:right="426"/>
              <w:rPr>
                <w:b/>
                <w:sz w:val="22"/>
              </w:rPr>
            </w:pPr>
            <w:r>
              <w:rPr>
                <w:b/>
                <w:sz w:val="22"/>
              </w:rPr>
              <w:t>Q: Are we going to be able to endorse the new PIP coverage on policies that renew on or before 7/1/2020 instead of having to rewrite the policies?</w:t>
            </w:r>
          </w:p>
        </w:tc>
        <w:tc>
          <w:tcPr>
            <w:tcW w:w="7204" w:type="dxa"/>
            <w:tcBorders>
              <w:top w:val="single" w:sz="4" w:space="0" w:color="808080"/>
              <w:bottom w:val="single" w:sz="4" w:space="0" w:color="808080"/>
            </w:tcBorders>
          </w:tcPr>
          <w:p>
            <w:pPr>
              <w:pStyle w:val="TableParagraph"/>
              <w:ind w:left="122" w:right="154"/>
              <w:rPr>
                <w:sz w:val="22"/>
              </w:rPr>
            </w:pPr>
            <w:r>
              <w:rPr>
                <w:b/>
                <w:sz w:val="22"/>
              </w:rPr>
              <w:t>A: </w:t>
            </w:r>
            <w:r>
              <w:rPr>
                <w:sz w:val="22"/>
              </w:rPr>
              <w:t>The law specifically says that the new PIP coverage is available on new or renewing policies as of 7/2/2020. Because of this requirement, these policies will probably need to be rewritten. We are looking at making it as easy as possible where you will not have to enter all the information from scratch when rewriting.</w:t>
            </w:r>
          </w:p>
        </w:tc>
        <w:tc>
          <w:tcPr>
            <w:tcW w:w="216" w:type="dxa"/>
          </w:tcPr>
          <w:p>
            <w:pPr>
              <w:pStyle w:val="TableParagraph"/>
              <w:spacing w:before="0"/>
              <w:rPr>
                <w:rFonts w:ascii="Times New Roman"/>
                <w:sz w:val="22"/>
              </w:rPr>
            </w:pPr>
          </w:p>
        </w:tc>
      </w:tr>
      <w:tr>
        <w:trPr>
          <w:trHeight w:val="866" w:hRule="atLeast"/>
        </w:trPr>
        <w:tc>
          <w:tcPr>
            <w:tcW w:w="3606" w:type="dxa"/>
            <w:tcBorders>
              <w:top w:val="single" w:sz="4" w:space="0" w:color="808080"/>
              <w:bottom w:val="single" w:sz="4" w:space="0" w:color="808080"/>
            </w:tcBorders>
          </w:tcPr>
          <w:p>
            <w:pPr>
              <w:pStyle w:val="TableParagraph"/>
              <w:ind w:left="115" w:right="226"/>
              <w:rPr>
                <w:b/>
                <w:sz w:val="22"/>
              </w:rPr>
            </w:pPr>
            <w:r>
              <w:rPr>
                <w:b/>
                <w:sz w:val="22"/>
              </w:rPr>
              <w:t>Q: What are the minimum Bodily Injury limits?</w:t>
            </w:r>
          </w:p>
        </w:tc>
        <w:tc>
          <w:tcPr>
            <w:tcW w:w="7204" w:type="dxa"/>
            <w:tcBorders>
              <w:top w:val="single" w:sz="4" w:space="0" w:color="808080"/>
              <w:bottom w:val="single" w:sz="4" w:space="0" w:color="808080"/>
            </w:tcBorders>
          </w:tcPr>
          <w:p>
            <w:pPr>
              <w:pStyle w:val="TableParagraph"/>
              <w:spacing w:line="268" w:lineRule="exact" w:before="54"/>
              <w:ind w:left="122" w:right="130"/>
              <w:rPr>
                <w:sz w:val="22"/>
              </w:rPr>
            </w:pPr>
            <w:r>
              <w:rPr>
                <w:b/>
                <w:sz w:val="22"/>
              </w:rPr>
              <w:t>A: </w:t>
            </w:r>
            <w:r>
              <w:rPr>
                <w:sz w:val="22"/>
              </w:rPr>
              <w:t>As of 7/2/2020, the default BI limit is $250k/$500k. However, insureds may actively elect BI limits of $50k/$100k on a signed BI form and submit it</w:t>
            </w:r>
            <w:r>
              <w:rPr>
                <w:spacing w:val="-28"/>
                <w:sz w:val="22"/>
              </w:rPr>
              <w:t> </w:t>
            </w:r>
            <w:r>
              <w:rPr>
                <w:sz w:val="22"/>
              </w:rPr>
              <w:t>to the insurer.</w:t>
            </w:r>
          </w:p>
        </w:tc>
        <w:tc>
          <w:tcPr>
            <w:tcW w:w="216" w:type="dxa"/>
          </w:tcPr>
          <w:p>
            <w:pPr>
              <w:pStyle w:val="TableParagraph"/>
              <w:spacing w:before="0"/>
              <w:rPr>
                <w:rFonts w:ascii="Times New Roman"/>
                <w:sz w:val="22"/>
              </w:rPr>
            </w:pPr>
          </w:p>
        </w:tc>
      </w:tr>
      <w:tr>
        <w:trPr>
          <w:trHeight w:val="1463" w:hRule="atLeast"/>
        </w:trPr>
        <w:tc>
          <w:tcPr>
            <w:tcW w:w="3606" w:type="dxa"/>
            <w:tcBorders>
              <w:top w:val="single" w:sz="4" w:space="0" w:color="808080"/>
              <w:bottom w:val="single" w:sz="4" w:space="0" w:color="808080"/>
            </w:tcBorders>
          </w:tcPr>
          <w:p>
            <w:pPr>
              <w:pStyle w:val="TableParagraph"/>
              <w:ind w:left="115" w:right="463"/>
              <w:jc w:val="both"/>
              <w:rPr>
                <w:b/>
                <w:sz w:val="22"/>
              </w:rPr>
            </w:pPr>
            <w:r>
              <w:rPr>
                <w:b/>
                <w:sz w:val="22"/>
              </w:rPr>
              <w:t>Q: Since the new default limit for Bodily Injury is $250k/$500k, will policies renewing after 7/1/2020 have their BI limits increased to</w:t>
            </w:r>
          </w:p>
          <w:p>
            <w:pPr>
              <w:pStyle w:val="TableParagraph"/>
              <w:spacing w:before="1"/>
              <w:ind w:left="115"/>
              <w:rPr>
                <w:b/>
                <w:sz w:val="22"/>
              </w:rPr>
            </w:pPr>
            <w:r>
              <w:rPr>
                <w:b/>
                <w:sz w:val="22"/>
              </w:rPr>
              <w:t>$250/$500k?</w:t>
            </w:r>
          </w:p>
        </w:tc>
        <w:tc>
          <w:tcPr>
            <w:tcW w:w="7204" w:type="dxa"/>
            <w:tcBorders>
              <w:top w:val="single" w:sz="4" w:space="0" w:color="808080"/>
              <w:bottom w:val="single" w:sz="4" w:space="0" w:color="808080"/>
            </w:tcBorders>
          </w:tcPr>
          <w:p>
            <w:pPr>
              <w:pStyle w:val="TableParagraph"/>
              <w:ind w:left="122" w:right="417"/>
              <w:rPr>
                <w:sz w:val="22"/>
              </w:rPr>
            </w:pPr>
            <w:r>
              <w:rPr>
                <w:b/>
                <w:sz w:val="22"/>
              </w:rPr>
              <w:t>A: </w:t>
            </w:r>
            <w:r>
              <w:rPr>
                <w:sz w:val="22"/>
              </w:rPr>
              <w:t>BI limits will be systematically increased for any policies that have limits below $250k/$500k at the time of renewal, unless the insured signs and submits a BI form to elect limits below $250k/$500k.</w:t>
            </w:r>
          </w:p>
        </w:tc>
        <w:tc>
          <w:tcPr>
            <w:tcW w:w="216" w:type="dxa"/>
          </w:tcPr>
          <w:p>
            <w:pPr>
              <w:pStyle w:val="TableParagraph"/>
              <w:spacing w:before="0"/>
              <w:rPr>
                <w:rFonts w:ascii="Times New Roman"/>
                <w:sz w:val="22"/>
              </w:rPr>
            </w:pPr>
          </w:p>
        </w:tc>
      </w:tr>
      <w:tr>
        <w:trPr>
          <w:trHeight w:val="657" w:hRule="atLeast"/>
        </w:trPr>
        <w:tc>
          <w:tcPr>
            <w:tcW w:w="3606" w:type="dxa"/>
            <w:tcBorders>
              <w:top w:val="single" w:sz="4" w:space="0" w:color="808080"/>
              <w:bottom w:val="single" w:sz="4" w:space="0" w:color="808080"/>
            </w:tcBorders>
          </w:tcPr>
          <w:p>
            <w:pPr>
              <w:pStyle w:val="TableParagraph"/>
              <w:ind w:left="115" w:right="838"/>
              <w:rPr>
                <w:b/>
                <w:sz w:val="22"/>
              </w:rPr>
            </w:pPr>
            <w:r>
              <w:rPr>
                <w:b/>
                <w:sz w:val="22"/>
              </w:rPr>
              <w:t>Q: Will we offer liability with Combined Single Limits?</w:t>
            </w:r>
          </w:p>
        </w:tc>
        <w:tc>
          <w:tcPr>
            <w:tcW w:w="7204" w:type="dxa"/>
            <w:tcBorders>
              <w:top w:val="single" w:sz="4" w:space="0" w:color="808080"/>
              <w:bottom w:val="single" w:sz="4" w:space="0" w:color="808080"/>
            </w:tcBorders>
          </w:tcPr>
          <w:p>
            <w:pPr>
              <w:pStyle w:val="TableParagraph"/>
              <w:ind w:left="122" w:right="154"/>
              <w:rPr>
                <w:sz w:val="22"/>
              </w:rPr>
            </w:pPr>
            <w:r>
              <w:rPr>
                <w:b/>
                <w:sz w:val="22"/>
              </w:rPr>
              <w:t>A: </w:t>
            </w:r>
            <w:r>
              <w:rPr>
                <w:sz w:val="22"/>
              </w:rPr>
              <w:t>We will not offer combined single limits with Select Auto. With the new Legacy product, we will continue to offer combined single limits.</w:t>
            </w:r>
          </w:p>
        </w:tc>
        <w:tc>
          <w:tcPr>
            <w:tcW w:w="216" w:type="dxa"/>
          </w:tcPr>
          <w:p>
            <w:pPr>
              <w:pStyle w:val="TableParagraph"/>
              <w:spacing w:before="0"/>
              <w:rPr>
                <w:rFonts w:ascii="Times New Roman"/>
                <w:sz w:val="22"/>
              </w:rPr>
            </w:pPr>
          </w:p>
        </w:tc>
      </w:tr>
      <w:tr>
        <w:trPr>
          <w:trHeight w:val="657" w:hRule="atLeast"/>
        </w:trPr>
        <w:tc>
          <w:tcPr>
            <w:tcW w:w="3606" w:type="dxa"/>
            <w:tcBorders>
              <w:top w:val="single" w:sz="4" w:space="0" w:color="808080"/>
              <w:bottom w:val="single" w:sz="4" w:space="0" w:color="808080"/>
            </w:tcBorders>
          </w:tcPr>
          <w:p>
            <w:pPr>
              <w:pStyle w:val="TableParagraph"/>
              <w:ind w:left="115" w:right="284"/>
              <w:rPr>
                <w:b/>
                <w:sz w:val="22"/>
              </w:rPr>
            </w:pPr>
            <w:r>
              <w:rPr>
                <w:b/>
                <w:sz w:val="22"/>
              </w:rPr>
              <w:t>Q: Will we be offering higher limits of under/uninsured coverage?</w:t>
            </w:r>
          </w:p>
        </w:tc>
        <w:tc>
          <w:tcPr>
            <w:tcW w:w="7204" w:type="dxa"/>
            <w:tcBorders>
              <w:top w:val="single" w:sz="4" w:space="0" w:color="808080"/>
              <w:bottom w:val="single" w:sz="4" w:space="0" w:color="808080"/>
            </w:tcBorders>
          </w:tcPr>
          <w:p>
            <w:pPr>
              <w:pStyle w:val="TableParagraph"/>
              <w:ind w:left="122"/>
              <w:rPr>
                <w:sz w:val="22"/>
              </w:rPr>
            </w:pPr>
            <w:r>
              <w:rPr>
                <w:b/>
                <w:sz w:val="22"/>
              </w:rPr>
              <w:t>A: </w:t>
            </w:r>
            <w:r>
              <w:rPr>
                <w:sz w:val="22"/>
              </w:rPr>
              <w:t>We will be introducing UM/UIM limits of $500k/$1M.</w:t>
            </w:r>
          </w:p>
        </w:tc>
        <w:tc>
          <w:tcPr>
            <w:tcW w:w="216" w:type="dxa"/>
          </w:tcPr>
          <w:p>
            <w:pPr>
              <w:pStyle w:val="TableParagraph"/>
              <w:spacing w:before="0"/>
              <w:rPr>
                <w:rFonts w:ascii="Times New Roman"/>
                <w:sz w:val="22"/>
              </w:rPr>
            </w:pPr>
          </w:p>
        </w:tc>
      </w:tr>
      <w:tr>
        <w:trPr>
          <w:trHeight w:val="1939" w:hRule="atLeast"/>
        </w:trPr>
        <w:tc>
          <w:tcPr>
            <w:tcW w:w="3606" w:type="dxa"/>
            <w:tcBorders>
              <w:top w:val="single" w:sz="4" w:space="0" w:color="808080"/>
              <w:bottom w:val="single" w:sz="4" w:space="0" w:color="808080"/>
            </w:tcBorders>
          </w:tcPr>
          <w:p>
            <w:pPr>
              <w:pStyle w:val="TableParagraph"/>
              <w:ind w:left="115" w:right="260"/>
              <w:rPr>
                <w:b/>
                <w:sz w:val="22"/>
              </w:rPr>
            </w:pPr>
            <w:r>
              <w:rPr>
                <w:b/>
                <w:sz w:val="22"/>
              </w:rPr>
              <w:t>Q: Will the fee schedule reduce the cost of the premiums for the insureds?</w:t>
            </w:r>
          </w:p>
        </w:tc>
        <w:tc>
          <w:tcPr>
            <w:tcW w:w="7204" w:type="dxa"/>
            <w:tcBorders>
              <w:top w:val="single" w:sz="4" w:space="0" w:color="808080"/>
              <w:bottom w:val="single" w:sz="4" w:space="0" w:color="808080"/>
            </w:tcBorders>
          </w:tcPr>
          <w:p>
            <w:pPr>
              <w:pStyle w:val="TableParagraph"/>
              <w:ind w:left="122" w:right="252"/>
              <w:rPr>
                <w:sz w:val="22"/>
              </w:rPr>
            </w:pPr>
            <w:r>
              <w:rPr>
                <w:sz w:val="22"/>
              </w:rPr>
              <w:t>A: From the customer’s standpoint they will not see any changes as far as their medical coverage or medical billing. What will occur is we will no longer pay the same amount we currently are for medical services provided. The fee scheulde for medical services will regulate what a health care provider can charge for auto insurance-related injuries. The new fee schedule will allow us to know up front the cost for a service provided, and</w:t>
            </w:r>
          </w:p>
          <w:p>
            <w:pPr>
              <w:pStyle w:val="TableParagraph"/>
              <w:spacing w:line="249" w:lineRule="exact" w:before="0"/>
              <w:ind w:left="122"/>
              <w:rPr>
                <w:sz w:val="22"/>
              </w:rPr>
            </w:pPr>
            <w:r>
              <w:rPr>
                <w:sz w:val="22"/>
              </w:rPr>
              <w:t>will be less than we are paying today.</w:t>
            </w:r>
          </w:p>
        </w:tc>
        <w:tc>
          <w:tcPr>
            <w:tcW w:w="216" w:type="dxa"/>
          </w:tcPr>
          <w:p>
            <w:pPr>
              <w:pStyle w:val="TableParagraph"/>
              <w:spacing w:before="0"/>
              <w:rPr>
                <w:rFonts w:ascii="Times New Roman"/>
                <w:sz w:val="22"/>
              </w:rPr>
            </w:pPr>
          </w:p>
        </w:tc>
      </w:tr>
    </w:tbl>
    <w:sectPr>
      <w:pgSz w:w="12240" w:h="15840"/>
      <w:pgMar w:header="720" w:footer="1207" w:top="1700" w:bottom="1400" w:left="60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880001pt;margin-top:720.656006pt;width:513.9pt;height:36.3pt;mso-position-horizontal-relative:page;mso-position-vertical-relative:page;z-index:-251995136" type="#_x0000_t202" filled="false" stroked="false">
          <v:textbox inset="0,0,0,0">
            <w:txbxContent>
              <w:p>
                <w:pPr>
                  <w:pStyle w:val="BodyText"/>
                  <w:spacing w:line="245" w:lineRule="exact"/>
                  <w:ind w:left="3" w:right="392"/>
                  <w:jc w:val="center"/>
                </w:pPr>
                <w:r>
                  <w:rPr/>
                  <w:t>DISCLAIMER: Please see the No-Fault Act for complete details. These responses are being provided for general</w:t>
                </w:r>
              </w:p>
              <w:p>
                <w:pPr>
                  <w:pStyle w:val="BodyText"/>
                  <w:spacing w:line="268" w:lineRule="exact"/>
                  <w:ind w:right="392"/>
                  <w:jc w:val="center"/>
                </w:pPr>
                <w:r>
                  <w:rPr/>
                  <w:t>information purposes,</w:t>
                </w:r>
                <w:r>
                  <w:rPr>
                    <w:spacing w:val="-3"/>
                  </w:rPr>
                  <w:t> </w:t>
                </w:r>
                <w:r>
                  <w:rPr/>
                  <w:t>only.</w:t>
                </w:r>
              </w:p>
              <w:p>
                <w:pPr>
                  <w:spacing w:before="0"/>
                  <w:ind w:left="0" w:right="18" w:firstLine="0"/>
                  <w:jc w:val="right"/>
                  <w:rPr>
                    <w:b/>
                    <w:sz w:val="16"/>
                  </w:rPr>
                </w:pPr>
                <w:r>
                  <w:rPr>
                    <w:sz w:val="16"/>
                  </w:rPr>
                  <w:t>Page </w:t>
                </w:r>
                <w:r>
                  <w:rPr/>
                  <w:fldChar w:fldCharType="begin"/>
                </w:r>
                <w:r>
                  <w:rPr>
                    <w:b/>
                    <w:sz w:val="16"/>
                  </w:rPr>
                  <w:instrText> PAGE </w:instrText>
                </w:r>
                <w:r>
                  <w:rPr/>
                  <w:fldChar w:fldCharType="separate"/>
                </w:r>
                <w:r>
                  <w:rPr/>
                  <w:t>1</w:t>
                </w:r>
                <w:r>
                  <w:rPr/>
                  <w:fldChar w:fldCharType="end"/>
                </w:r>
                <w:r>
                  <w:rPr>
                    <w:b/>
                    <w:sz w:val="16"/>
                  </w:rPr>
                  <w:t> </w:t>
                </w:r>
                <w:r>
                  <w:rPr>
                    <w:sz w:val="16"/>
                  </w:rPr>
                  <w:t>of </w:t>
                </w:r>
                <w:r>
                  <w:rPr>
                    <w:b/>
                    <w:sz w:val="16"/>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19296">
          <wp:simplePos x="0" y="0"/>
          <wp:positionH relativeFrom="page">
            <wp:posOffset>497906</wp:posOffset>
          </wp:positionH>
          <wp:positionV relativeFrom="page">
            <wp:posOffset>482077</wp:posOffset>
          </wp:positionV>
          <wp:extent cx="1007043" cy="60948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007043" cy="60948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2.429993pt;margin-top:34.995312pt;width:159.950pt;height:30.15pt;mso-position-horizontal-relative:page;mso-position-vertical-relative:page;z-index:-251996160" type="#_x0000_t202" filled="false" stroked="false">
          <v:textbox inset="0,0,0,0">
            <w:txbxContent>
              <w:p>
                <w:pPr>
                  <w:spacing w:before="20"/>
                  <w:ind w:left="20" w:right="0" w:firstLine="0"/>
                  <w:jc w:val="left"/>
                  <w:rPr>
                    <w:rFonts w:ascii="Cambria"/>
                    <w:sz w:val="48"/>
                  </w:rPr>
                </w:pPr>
                <w:r>
                  <w:rPr>
                    <w:rFonts w:ascii="Cambria"/>
                    <w:color w:val="1F487C"/>
                    <w:sz w:val="48"/>
                  </w:rPr>
                  <w:t>MI Reform FAQ</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87" w:hanging="360"/>
      </w:pPr>
      <w:rPr>
        <w:rFonts w:hint="default" w:ascii="Symbol" w:hAnsi="Symbol" w:eastAsia="Symbol" w:cs="Symbol"/>
        <w:w w:val="100"/>
        <w:sz w:val="22"/>
        <w:szCs w:val="22"/>
        <w:lang w:val="en-us" w:eastAsia="en-us" w:bidi="en-us"/>
      </w:rPr>
    </w:lvl>
    <w:lvl w:ilvl="1">
      <w:start w:val="0"/>
      <w:numFmt w:val="bullet"/>
      <w:lvlText w:val="•"/>
      <w:lvlJc w:val="left"/>
      <w:pPr>
        <w:ind w:left="1512" w:hanging="360"/>
      </w:pPr>
      <w:rPr>
        <w:rFonts w:hint="default"/>
        <w:lang w:val="en-us" w:eastAsia="en-us" w:bidi="en-us"/>
      </w:rPr>
    </w:lvl>
    <w:lvl w:ilvl="2">
      <w:start w:val="0"/>
      <w:numFmt w:val="bullet"/>
      <w:lvlText w:val="•"/>
      <w:lvlJc w:val="left"/>
      <w:pPr>
        <w:ind w:left="2144" w:hanging="360"/>
      </w:pPr>
      <w:rPr>
        <w:rFonts w:hint="default"/>
        <w:lang w:val="en-us" w:eastAsia="en-us" w:bidi="en-us"/>
      </w:rPr>
    </w:lvl>
    <w:lvl w:ilvl="3">
      <w:start w:val="0"/>
      <w:numFmt w:val="bullet"/>
      <w:lvlText w:val="•"/>
      <w:lvlJc w:val="left"/>
      <w:pPr>
        <w:ind w:left="2776" w:hanging="360"/>
      </w:pPr>
      <w:rPr>
        <w:rFonts w:hint="default"/>
        <w:lang w:val="en-us" w:eastAsia="en-us" w:bidi="en-us"/>
      </w:rPr>
    </w:lvl>
    <w:lvl w:ilvl="4">
      <w:start w:val="0"/>
      <w:numFmt w:val="bullet"/>
      <w:lvlText w:val="•"/>
      <w:lvlJc w:val="left"/>
      <w:pPr>
        <w:ind w:left="3409" w:hanging="360"/>
      </w:pPr>
      <w:rPr>
        <w:rFonts w:hint="default"/>
        <w:lang w:val="en-us" w:eastAsia="en-us" w:bidi="en-us"/>
      </w:rPr>
    </w:lvl>
    <w:lvl w:ilvl="5">
      <w:start w:val="0"/>
      <w:numFmt w:val="bullet"/>
      <w:lvlText w:val="•"/>
      <w:lvlJc w:val="left"/>
      <w:pPr>
        <w:ind w:left="4041" w:hanging="360"/>
      </w:pPr>
      <w:rPr>
        <w:rFonts w:hint="default"/>
        <w:lang w:val="en-us" w:eastAsia="en-us" w:bidi="en-us"/>
      </w:rPr>
    </w:lvl>
    <w:lvl w:ilvl="6">
      <w:start w:val="0"/>
      <w:numFmt w:val="bullet"/>
      <w:lvlText w:val="•"/>
      <w:lvlJc w:val="left"/>
      <w:pPr>
        <w:ind w:left="4673" w:hanging="360"/>
      </w:pPr>
      <w:rPr>
        <w:rFonts w:hint="default"/>
        <w:lang w:val="en-us" w:eastAsia="en-us" w:bidi="en-us"/>
      </w:rPr>
    </w:lvl>
    <w:lvl w:ilvl="7">
      <w:start w:val="0"/>
      <w:numFmt w:val="bullet"/>
      <w:lvlText w:val="•"/>
      <w:lvlJc w:val="left"/>
      <w:pPr>
        <w:ind w:left="5306" w:hanging="360"/>
      </w:pPr>
      <w:rPr>
        <w:rFonts w:hint="default"/>
        <w:lang w:val="en-us" w:eastAsia="en-us" w:bidi="en-us"/>
      </w:rPr>
    </w:lvl>
    <w:lvl w:ilvl="8">
      <w:start w:val="0"/>
      <w:numFmt w:val="bullet"/>
      <w:lvlText w:val="•"/>
      <w:lvlJc w:val="left"/>
      <w:pPr>
        <w:ind w:left="5938" w:hanging="360"/>
      </w:pPr>
      <w:rPr>
        <w:rFonts w:hint="default"/>
        <w:lang w:val="en-us" w:eastAsia="en-us" w:bidi="en-us"/>
      </w:rPr>
    </w:lvl>
  </w:abstractNum>
  <w:abstractNum w:abstractNumId="0">
    <w:multiLevelType w:val="hybridMultilevel"/>
    <w:lvl w:ilvl="0">
      <w:start w:val="0"/>
      <w:numFmt w:val="bullet"/>
      <w:lvlText w:val=""/>
      <w:lvlJc w:val="left"/>
      <w:pPr>
        <w:ind w:left="887" w:hanging="360"/>
      </w:pPr>
      <w:rPr>
        <w:rFonts w:hint="default" w:ascii="Symbol" w:hAnsi="Symbol" w:eastAsia="Symbol" w:cs="Symbol"/>
        <w:w w:val="100"/>
        <w:sz w:val="22"/>
        <w:szCs w:val="22"/>
        <w:lang w:val="en-us" w:eastAsia="en-us" w:bidi="en-us"/>
      </w:rPr>
    </w:lvl>
    <w:lvl w:ilvl="1">
      <w:start w:val="0"/>
      <w:numFmt w:val="bullet"/>
      <w:lvlText w:val="•"/>
      <w:lvlJc w:val="left"/>
      <w:pPr>
        <w:ind w:left="1512" w:hanging="360"/>
      </w:pPr>
      <w:rPr>
        <w:rFonts w:hint="default"/>
        <w:lang w:val="en-us" w:eastAsia="en-us" w:bidi="en-us"/>
      </w:rPr>
    </w:lvl>
    <w:lvl w:ilvl="2">
      <w:start w:val="0"/>
      <w:numFmt w:val="bullet"/>
      <w:lvlText w:val="•"/>
      <w:lvlJc w:val="left"/>
      <w:pPr>
        <w:ind w:left="2144" w:hanging="360"/>
      </w:pPr>
      <w:rPr>
        <w:rFonts w:hint="default"/>
        <w:lang w:val="en-us" w:eastAsia="en-us" w:bidi="en-us"/>
      </w:rPr>
    </w:lvl>
    <w:lvl w:ilvl="3">
      <w:start w:val="0"/>
      <w:numFmt w:val="bullet"/>
      <w:lvlText w:val="•"/>
      <w:lvlJc w:val="left"/>
      <w:pPr>
        <w:ind w:left="2776" w:hanging="360"/>
      </w:pPr>
      <w:rPr>
        <w:rFonts w:hint="default"/>
        <w:lang w:val="en-us" w:eastAsia="en-us" w:bidi="en-us"/>
      </w:rPr>
    </w:lvl>
    <w:lvl w:ilvl="4">
      <w:start w:val="0"/>
      <w:numFmt w:val="bullet"/>
      <w:lvlText w:val="•"/>
      <w:lvlJc w:val="left"/>
      <w:pPr>
        <w:ind w:left="3409" w:hanging="360"/>
      </w:pPr>
      <w:rPr>
        <w:rFonts w:hint="default"/>
        <w:lang w:val="en-us" w:eastAsia="en-us" w:bidi="en-us"/>
      </w:rPr>
    </w:lvl>
    <w:lvl w:ilvl="5">
      <w:start w:val="0"/>
      <w:numFmt w:val="bullet"/>
      <w:lvlText w:val="•"/>
      <w:lvlJc w:val="left"/>
      <w:pPr>
        <w:ind w:left="4041" w:hanging="360"/>
      </w:pPr>
      <w:rPr>
        <w:rFonts w:hint="default"/>
        <w:lang w:val="en-us" w:eastAsia="en-us" w:bidi="en-us"/>
      </w:rPr>
    </w:lvl>
    <w:lvl w:ilvl="6">
      <w:start w:val="0"/>
      <w:numFmt w:val="bullet"/>
      <w:lvlText w:val="•"/>
      <w:lvlJc w:val="left"/>
      <w:pPr>
        <w:ind w:left="4673" w:hanging="360"/>
      </w:pPr>
      <w:rPr>
        <w:rFonts w:hint="default"/>
        <w:lang w:val="en-us" w:eastAsia="en-us" w:bidi="en-us"/>
      </w:rPr>
    </w:lvl>
    <w:lvl w:ilvl="7">
      <w:start w:val="0"/>
      <w:numFmt w:val="bullet"/>
      <w:lvlText w:val="•"/>
      <w:lvlJc w:val="left"/>
      <w:pPr>
        <w:ind w:left="5306" w:hanging="360"/>
      </w:pPr>
      <w:rPr>
        <w:rFonts w:hint="default"/>
        <w:lang w:val="en-us" w:eastAsia="en-us" w:bidi="en-us"/>
      </w:rPr>
    </w:lvl>
    <w:lvl w:ilvl="8">
      <w:start w:val="0"/>
      <w:numFmt w:val="bullet"/>
      <w:lvlText w:val="•"/>
      <w:lvlJc w:val="left"/>
      <w:pPr>
        <w:ind w:left="5938"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59"/>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Kagan, Jennifer</dc:creator>
  <dcterms:created xsi:type="dcterms:W3CDTF">2020-01-08T16:18:49Z</dcterms:created>
  <dcterms:modified xsi:type="dcterms:W3CDTF">2020-01-08T16:18:49Z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2016</vt:lpwstr>
  </property>
  <property fmtid="{D5CDD505-2E9C-101B-9397-08002B2CF9AE}" pid="4" name="LastSaved">
    <vt:filetime>2020-01-08T00:00:00Z</vt:filetime>
  </property>
</Properties>
</file>